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8C0" w:rsidRDefault="00A568C0" w:rsidP="00A568C0">
      <w:pPr>
        <w:rPr>
          <w:rFonts w:ascii="Arial" w:hAnsi="Arial" w:cs="Arial"/>
          <w:color w:val="000000"/>
          <w:sz w:val="20"/>
          <w:szCs w:val="20"/>
          <w:lang/>
        </w:rPr>
      </w:pPr>
    </w:p>
    <w:p w:rsidR="00A568C0" w:rsidRDefault="00A568C0" w:rsidP="00A568C0">
      <w:pPr>
        <w:pStyle w:val="ListParagraph"/>
        <w:numPr>
          <w:ilvl w:val="0"/>
          <w:numId w:val="1"/>
        </w:numPr>
        <w:rPr>
          <w:rFonts w:eastAsia="Times New Roman"/>
          <w:color w:val="000000"/>
          <w:lang/>
        </w:rPr>
      </w:pPr>
      <w:r>
        <w:rPr>
          <w:rFonts w:ascii="Arial" w:eastAsia="Times New Roman" w:hAnsi="Arial" w:cs="Arial"/>
          <w:b/>
          <w:bCs/>
          <w:color w:val="000000"/>
          <w:sz w:val="20"/>
          <w:szCs w:val="20"/>
          <w:lang/>
        </w:rPr>
        <w:t>Connecting Europe Facility</w:t>
      </w:r>
      <w:r>
        <w:rPr>
          <w:rFonts w:ascii="Arial" w:eastAsia="Times New Roman" w:hAnsi="Arial" w:cs="Arial"/>
          <w:color w:val="000000"/>
          <w:sz w:val="20"/>
          <w:szCs w:val="20"/>
          <w:lang/>
        </w:rPr>
        <w:t xml:space="preserve"> </w:t>
      </w:r>
    </w:p>
    <w:p w:rsidR="00A568C0" w:rsidRDefault="00A568C0" w:rsidP="00A568C0">
      <w:pPr>
        <w:rPr>
          <w:rFonts w:ascii="Arial" w:hAnsi="Arial" w:cs="Arial"/>
          <w:color w:val="000000"/>
          <w:sz w:val="20"/>
          <w:szCs w:val="20"/>
          <w:lang/>
        </w:rPr>
      </w:pPr>
    </w:p>
    <w:p w:rsidR="00A568C0" w:rsidRDefault="00A568C0" w:rsidP="00A568C0">
      <w:pPr>
        <w:rPr>
          <w:lang/>
        </w:rPr>
      </w:pPr>
      <w:r>
        <w:rPr>
          <w:rFonts w:ascii="Arial" w:hAnsi="Arial" w:cs="Arial"/>
          <w:color w:val="000000"/>
          <w:sz w:val="20"/>
          <w:szCs w:val="20"/>
          <w:lang/>
        </w:rPr>
        <w:t xml:space="preserve">The Commission proposed to allocate €1.5 billion within the CEF for energy and a 10% share that should be used for XB renewable projects. </w:t>
      </w:r>
    </w:p>
    <w:p w:rsidR="00A568C0" w:rsidRDefault="00A568C0" w:rsidP="00A568C0">
      <w:pPr>
        <w:rPr>
          <w:lang/>
        </w:rPr>
      </w:pPr>
      <w:r>
        <w:rPr>
          <w:rFonts w:ascii="Arial" w:hAnsi="Arial" w:cs="Arial"/>
          <w:color w:val="000000"/>
          <w:sz w:val="20"/>
          <w:szCs w:val="20"/>
          <w:lang/>
        </w:rPr>
        <w:t xml:space="preserve">Key comments: </w:t>
      </w:r>
    </w:p>
    <w:p w:rsidR="00A568C0" w:rsidRDefault="00A568C0" w:rsidP="00A568C0">
      <w:pPr>
        <w:pStyle w:val="ListParagraph"/>
        <w:numPr>
          <w:ilvl w:val="0"/>
          <w:numId w:val="2"/>
        </w:numPr>
        <w:rPr>
          <w:rFonts w:eastAsia="Times New Roman"/>
          <w:color w:val="000000"/>
          <w:lang/>
        </w:rPr>
      </w:pPr>
      <w:r>
        <w:rPr>
          <w:rFonts w:ascii="Arial" w:eastAsia="Times New Roman" w:hAnsi="Arial" w:cs="Arial"/>
          <w:color w:val="000000"/>
          <w:sz w:val="20"/>
          <w:szCs w:val="20"/>
          <w:lang/>
        </w:rPr>
        <w:t>Propose that this XB funding is used for a portfolio of technologies</w:t>
      </w:r>
    </w:p>
    <w:p w:rsidR="00A568C0" w:rsidRDefault="00A568C0" w:rsidP="00A568C0">
      <w:pPr>
        <w:pStyle w:val="ListParagraph"/>
        <w:numPr>
          <w:ilvl w:val="0"/>
          <w:numId w:val="2"/>
        </w:numPr>
        <w:rPr>
          <w:rFonts w:eastAsia="Times New Roman"/>
          <w:color w:val="000000"/>
          <w:lang/>
        </w:rPr>
      </w:pPr>
      <w:r>
        <w:rPr>
          <w:rFonts w:ascii="Arial" w:eastAsia="Times New Roman" w:hAnsi="Arial" w:cs="Arial"/>
          <w:color w:val="000000"/>
          <w:sz w:val="20"/>
          <w:szCs w:val="20"/>
          <w:lang/>
        </w:rPr>
        <w:t>Funding should be targeted to electricity projects (instead of gas)</w:t>
      </w:r>
    </w:p>
    <w:p w:rsidR="00A568C0" w:rsidRDefault="00A568C0" w:rsidP="00A568C0">
      <w:pPr>
        <w:pStyle w:val="ListParagraph"/>
        <w:numPr>
          <w:ilvl w:val="0"/>
          <w:numId w:val="2"/>
        </w:numPr>
        <w:rPr>
          <w:rFonts w:eastAsia="Times New Roman"/>
          <w:color w:val="000000"/>
          <w:lang/>
        </w:rPr>
      </w:pPr>
      <w:r>
        <w:rPr>
          <w:rFonts w:ascii="Arial" w:eastAsia="Times New Roman" w:hAnsi="Arial" w:cs="Arial"/>
          <w:color w:val="000000"/>
          <w:sz w:val="20"/>
          <w:szCs w:val="20"/>
          <w:lang/>
        </w:rPr>
        <w:t xml:space="preserve">A selection criteria for the projects should be the CO2 emissions reduction </w:t>
      </w:r>
    </w:p>
    <w:p w:rsidR="00A568C0" w:rsidRDefault="00A568C0" w:rsidP="00A568C0">
      <w:pPr>
        <w:pStyle w:val="ListParagraph"/>
        <w:numPr>
          <w:ilvl w:val="0"/>
          <w:numId w:val="3"/>
        </w:numPr>
        <w:rPr>
          <w:rFonts w:eastAsia="Times New Roman"/>
          <w:color w:val="000000"/>
          <w:lang/>
        </w:rPr>
      </w:pPr>
      <w:r>
        <w:rPr>
          <w:rFonts w:ascii="Arial" w:eastAsia="Times New Roman" w:hAnsi="Arial" w:cs="Arial"/>
          <w:b/>
          <w:bCs/>
          <w:color w:val="000000"/>
          <w:sz w:val="20"/>
          <w:szCs w:val="20"/>
          <w:lang/>
        </w:rPr>
        <w:t>No joint action is decided, we will keep in touch on the topic (SolarPower Europe Sonia Dunlop)</w:t>
      </w:r>
      <w:r>
        <w:rPr>
          <w:rFonts w:ascii="Arial" w:eastAsia="Times New Roman" w:hAnsi="Arial" w:cs="Arial"/>
          <w:color w:val="000000"/>
          <w:sz w:val="20"/>
          <w:szCs w:val="20"/>
          <w:lang/>
        </w:rPr>
        <w:t xml:space="preserve"> </w:t>
      </w:r>
    </w:p>
    <w:p w:rsidR="00A568C0" w:rsidRDefault="00A568C0" w:rsidP="00A568C0">
      <w:pPr>
        <w:rPr>
          <w:lang/>
        </w:rPr>
      </w:pPr>
      <w:r>
        <w:rPr>
          <w:rFonts w:ascii="Arial" w:hAnsi="Arial" w:cs="Arial"/>
          <w:b/>
          <w:bCs/>
          <w:color w:val="000000"/>
          <w:sz w:val="20"/>
          <w:szCs w:val="20"/>
          <w:lang/>
        </w:rPr>
        <w:t> </w:t>
      </w:r>
      <w:r>
        <w:rPr>
          <w:rFonts w:ascii="Arial" w:hAnsi="Arial" w:cs="Arial"/>
          <w:color w:val="000000"/>
          <w:sz w:val="20"/>
          <w:szCs w:val="20"/>
          <w:lang/>
        </w:rPr>
        <w:t xml:space="preserve"> </w:t>
      </w:r>
    </w:p>
    <w:p w:rsidR="00A568C0" w:rsidRDefault="00A568C0" w:rsidP="00A568C0">
      <w:pPr>
        <w:pStyle w:val="ListParagraph"/>
        <w:numPr>
          <w:ilvl w:val="0"/>
          <w:numId w:val="1"/>
        </w:numPr>
        <w:rPr>
          <w:rFonts w:eastAsia="Times New Roman"/>
          <w:color w:val="000000"/>
          <w:lang/>
        </w:rPr>
      </w:pPr>
      <w:r>
        <w:rPr>
          <w:rFonts w:ascii="Arial" w:eastAsia="Times New Roman" w:hAnsi="Arial" w:cs="Arial"/>
          <w:b/>
          <w:bCs/>
          <w:color w:val="000000"/>
          <w:sz w:val="20"/>
          <w:szCs w:val="20"/>
          <w:lang/>
        </w:rPr>
        <w:t>Follow-up on Horizon Europe</w:t>
      </w:r>
      <w:r>
        <w:rPr>
          <w:rFonts w:ascii="Arial" w:eastAsia="Times New Roman" w:hAnsi="Arial" w:cs="Arial"/>
          <w:color w:val="000000"/>
          <w:sz w:val="20"/>
          <w:szCs w:val="20"/>
          <w:lang/>
        </w:rPr>
        <w:t xml:space="preserve"> </w:t>
      </w:r>
    </w:p>
    <w:p w:rsidR="00A568C0" w:rsidRDefault="00A568C0" w:rsidP="00A568C0">
      <w:pPr>
        <w:rPr>
          <w:lang/>
        </w:rPr>
      </w:pPr>
      <w:r>
        <w:rPr>
          <w:rFonts w:ascii="Arial" w:hAnsi="Arial" w:cs="Arial"/>
          <w:color w:val="000000"/>
          <w:sz w:val="20"/>
          <w:szCs w:val="20"/>
          <w:lang/>
        </w:rPr>
        <w:t xml:space="preserve">3000 amendments were published in ITRE committee. Ocean Energy Europe is going through it. </w:t>
      </w:r>
    </w:p>
    <w:p w:rsidR="00A568C0" w:rsidRDefault="00A568C0" w:rsidP="00A568C0">
      <w:pPr>
        <w:rPr>
          <w:lang/>
        </w:rPr>
      </w:pPr>
      <w:r>
        <w:rPr>
          <w:rFonts w:ascii="Arial" w:hAnsi="Arial" w:cs="Arial"/>
          <w:color w:val="000000"/>
          <w:sz w:val="20"/>
          <w:szCs w:val="20"/>
          <w:lang/>
        </w:rPr>
        <w:t xml:space="preserve">Calendar: </w:t>
      </w:r>
    </w:p>
    <w:p w:rsidR="00A568C0" w:rsidRDefault="00A568C0" w:rsidP="00A568C0">
      <w:pPr>
        <w:pStyle w:val="ListParagraph"/>
        <w:numPr>
          <w:ilvl w:val="0"/>
          <w:numId w:val="4"/>
        </w:numPr>
        <w:rPr>
          <w:rFonts w:eastAsia="Times New Roman"/>
          <w:color w:val="000000"/>
          <w:lang/>
        </w:rPr>
      </w:pPr>
      <w:r>
        <w:rPr>
          <w:rFonts w:ascii="Arial" w:eastAsia="Times New Roman" w:hAnsi="Arial" w:cs="Arial"/>
          <w:color w:val="000000"/>
          <w:sz w:val="20"/>
          <w:szCs w:val="20"/>
          <w:lang/>
        </w:rPr>
        <w:t xml:space="preserve">27/09: 1 </w:t>
      </w:r>
      <w:r>
        <w:rPr>
          <w:rFonts w:ascii="Arial" w:eastAsia="Times New Roman" w:hAnsi="Arial" w:cs="Arial"/>
          <w:color w:val="000000"/>
          <w:sz w:val="20"/>
          <w:szCs w:val="20"/>
          <w:vertAlign w:val="superscript"/>
          <w:lang/>
        </w:rPr>
        <w:t>st</w:t>
      </w:r>
      <w:r>
        <w:rPr>
          <w:rFonts w:ascii="Arial" w:eastAsia="Times New Roman" w:hAnsi="Arial" w:cs="Arial"/>
          <w:color w:val="000000"/>
          <w:sz w:val="20"/>
          <w:szCs w:val="20"/>
          <w:lang/>
        </w:rPr>
        <w:t xml:space="preserve"> shadow meeting</w:t>
      </w:r>
    </w:p>
    <w:p w:rsidR="00A568C0" w:rsidRDefault="00A568C0" w:rsidP="00A568C0">
      <w:pPr>
        <w:pStyle w:val="ListParagraph"/>
        <w:numPr>
          <w:ilvl w:val="0"/>
          <w:numId w:val="4"/>
        </w:numPr>
        <w:rPr>
          <w:rFonts w:eastAsia="Times New Roman"/>
          <w:color w:val="000000"/>
          <w:lang/>
        </w:rPr>
      </w:pPr>
      <w:r>
        <w:rPr>
          <w:rFonts w:ascii="Arial" w:eastAsia="Times New Roman" w:hAnsi="Arial" w:cs="Arial"/>
          <w:color w:val="000000"/>
          <w:sz w:val="20"/>
          <w:szCs w:val="20"/>
          <w:lang/>
        </w:rPr>
        <w:t xml:space="preserve">08/10: Public hearing End of November: vote of report </w:t>
      </w:r>
    </w:p>
    <w:p w:rsidR="00A568C0" w:rsidRDefault="00A568C0" w:rsidP="00A568C0">
      <w:pPr>
        <w:pStyle w:val="ListParagraph"/>
        <w:numPr>
          <w:ilvl w:val="0"/>
          <w:numId w:val="3"/>
        </w:numPr>
        <w:rPr>
          <w:rFonts w:eastAsia="Times New Roman"/>
          <w:color w:val="000000"/>
          <w:lang/>
        </w:rPr>
      </w:pPr>
      <w:r>
        <w:rPr>
          <w:rFonts w:ascii="Arial" w:eastAsia="Times New Roman" w:hAnsi="Arial" w:cs="Arial"/>
          <w:b/>
          <w:bCs/>
          <w:color w:val="000000"/>
          <w:sz w:val="20"/>
          <w:szCs w:val="20"/>
          <w:lang/>
        </w:rPr>
        <w:t>OEE to keep RES Policy informed</w:t>
      </w:r>
      <w:r>
        <w:rPr>
          <w:rFonts w:ascii="Arial" w:eastAsia="Times New Roman" w:hAnsi="Arial" w:cs="Arial"/>
          <w:color w:val="000000"/>
          <w:sz w:val="20"/>
          <w:szCs w:val="20"/>
          <w:lang/>
        </w:rPr>
        <w:t xml:space="preserve"> </w:t>
      </w:r>
    </w:p>
    <w:p w:rsidR="00A568C0" w:rsidRDefault="00A568C0" w:rsidP="00A568C0">
      <w:pPr>
        <w:rPr>
          <w:lang/>
        </w:rPr>
      </w:pPr>
      <w:r>
        <w:rPr>
          <w:rFonts w:ascii="Arial" w:hAnsi="Arial" w:cs="Arial"/>
          <w:b/>
          <w:bCs/>
          <w:color w:val="000000"/>
          <w:sz w:val="20"/>
          <w:szCs w:val="20"/>
          <w:lang/>
        </w:rPr>
        <w:t> </w:t>
      </w:r>
      <w:r>
        <w:rPr>
          <w:rFonts w:ascii="Arial" w:hAnsi="Arial" w:cs="Arial"/>
          <w:color w:val="000000"/>
          <w:sz w:val="20"/>
          <w:szCs w:val="20"/>
          <w:lang/>
        </w:rPr>
        <w:t xml:space="preserve"> </w:t>
      </w:r>
    </w:p>
    <w:p w:rsidR="00A568C0" w:rsidRDefault="00A568C0" w:rsidP="00A568C0">
      <w:pPr>
        <w:pStyle w:val="ListParagraph"/>
        <w:numPr>
          <w:ilvl w:val="0"/>
          <w:numId w:val="1"/>
        </w:numPr>
        <w:rPr>
          <w:rFonts w:eastAsia="Times New Roman"/>
          <w:color w:val="000000"/>
          <w:lang/>
        </w:rPr>
      </w:pPr>
      <w:r>
        <w:rPr>
          <w:rFonts w:ascii="Arial" w:eastAsia="Times New Roman" w:hAnsi="Arial" w:cs="Arial"/>
          <w:b/>
          <w:bCs/>
          <w:color w:val="000000"/>
          <w:sz w:val="20"/>
          <w:szCs w:val="20"/>
          <w:lang/>
        </w:rPr>
        <w:t xml:space="preserve">Market Design trilogue negotiations </w:t>
      </w:r>
    </w:p>
    <w:p w:rsidR="00A568C0" w:rsidRDefault="00A568C0" w:rsidP="00A568C0">
      <w:pPr>
        <w:pStyle w:val="ListParagraph"/>
        <w:numPr>
          <w:ilvl w:val="0"/>
          <w:numId w:val="5"/>
        </w:numPr>
        <w:rPr>
          <w:rFonts w:eastAsia="Times New Roman"/>
          <w:color w:val="000000"/>
          <w:lang/>
        </w:rPr>
      </w:pPr>
      <w:r>
        <w:rPr>
          <w:rFonts w:ascii="Arial" w:eastAsia="Times New Roman" w:hAnsi="Arial" w:cs="Arial"/>
          <w:color w:val="000000"/>
          <w:sz w:val="20"/>
          <w:szCs w:val="20"/>
          <w:lang/>
        </w:rPr>
        <w:t xml:space="preserve">2 </w:t>
      </w:r>
      <w:r>
        <w:rPr>
          <w:rFonts w:ascii="Arial" w:eastAsia="Times New Roman" w:hAnsi="Arial" w:cs="Arial"/>
          <w:color w:val="000000"/>
          <w:sz w:val="20"/>
          <w:szCs w:val="20"/>
          <w:vertAlign w:val="superscript"/>
          <w:lang/>
        </w:rPr>
        <w:t>nd</w:t>
      </w:r>
      <w:r>
        <w:rPr>
          <w:rFonts w:ascii="Arial" w:eastAsia="Times New Roman" w:hAnsi="Arial" w:cs="Arial"/>
          <w:color w:val="000000"/>
          <w:sz w:val="20"/>
          <w:szCs w:val="20"/>
          <w:lang/>
        </w:rPr>
        <w:t xml:space="preserve"> trialogue meeting was on 11/09, topics covered were: ROCs, design of markets, consumer protection. Active customers and energy communities were not discussed. </w:t>
      </w:r>
    </w:p>
    <w:p w:rsidR="00A568C0" w:rsidRDefault="00A568C0" w:rsidP="00A568C0">
      <w:pPr>
        <w:pStyle w:val="ListParagraph"/>
        <w:numPr>
          <w:ilvl w:val="0"/>
          <w:numId w:val="5"/>
        </w:numPr>
        <w:rPr>
          <w:rFonts w:eastAsia="Times New Roman"/>
          <w:color w:val="000000"/>
          <w:lang/>
        </w:rPr>
      </w:pPr>
      <w:r>
        <w:rPr>
          <w:rFonts w:ascii="Arial" w:eastAsia="Times New Roman" w:hAnsi="Arial" w:cs="Arial"/>
          <w:color w:val="000000"/>
          <w:sz w:val="20"/>
          <w:szCs w:val="20"/>
          <w:lang/>
        </w:rPr>
        <w:t xml:space="preserve">Next topics to be covered ahead of the 3 </w:t>
      </w:r>
      <w:r>
        <w:rPr>
          <w:rFonts w:ascii="Arial" w:eastAsia="Times New Roman" w:hAnsi="Arial" w:cs="Arial"/>
          <w:color w:val="000000"/>
          <w:sz w:val="20"/>
          <w:szCs w:val="20"/>
          <w:vertAlign w:val="superscript"/>
          <w:lang/>
        </w:rPr>
        <w:t>rd</w:t>
      </w:r>
      <w:r>
        <w:rPr>
          <w:rFonts w:ascii="Arial" w:eastAsia="Times New Roman" w:hAnsi="Arial" w:cs="Arial"/>
          <w:color w:val="000000"/>
          <w:sz w:val="20"/>
          <w:szCs w:val="20"/>
          <w:lang/>
        </w:rPr>
        <w:t xml:space="preserve"> trialogue meeting on 18/10: active customer, local energy communities, CRMs. </w:t>
      </w:r>
    </w:p>
    <w:p w:rsidR="00A568C0" w:rsidRDefault="00A568C0" w:rsidP="00A568C0">
      <w:pPr>
        <w:pStyle w:val="ListParagraph"/>
        <w:numPr>
          <w:ilvl w:val="0"/>
          <w:numId w:val="5"/>
        </w:numPr>
        <w:rPr>
          <w:rFonts w:eastAsia="Times New Roman"/>
          <w:color w:val="000000"/>
          <w:lang/>
        </w:rPr>
      </w:pPr>
      <w:r>
        <w:rPr>
          <w:rFonts w:ascii="Arial" w:eastAsia="Times New Roman" w:hAnsi="Arial" w:cs="Arial"/>
          <w:color w:val="000000"/>
          <w:sz w:val="20"/>
          <w:szCs w:val="20"/>
          <w:lang/>
        </w:rPr>
        <w:t xml:space="preserve">Next technical meeting will be end of September. </w:t>
      </w:r>
    </w:p>
    <w:p w:rsidR="00A568C0" w:rsidRDefault="00A568C0" w:rsidP="00A568C0">
      <w:pPr>
        <w:pStyle w:val="ListParagraph"/>
        <w:numPr>
          <w:ilvl w:val="0"/>
          <w:numId w:val="3"/>
        </w:numPr>
        <w:rPr>
          <w:rFonts w:eastAsia="Times New Roman"/>
          <w:color w:val="000000"/>
          <w:lang/>
        </w:rPr>
      </w:pPr>
      <w:r>
        <w:rPr>
          <w:rFonts w:ascii="Arial" w:eastAsia="Times New Roman" w:hAnsi="Arial" w:cs="Arial"/>
          <w:b/>
          <w:bCs/>
          <w:color w:val="000000"/>
          <w:sz w:val="20"/>
          <w:szCs w:val="20"/>
          <w:lang/>
        </w:rPr>
        <w:t>No joint action is decided</w:t>
      </w:r>
      <w:r>
        <w:rPr>
          <w:rFonts w:ascii="Arial" w:eastAsia="Times New Roman" w:hAnsi="Arial" w:cs="Arial"/>
          <w:color w:val="000000"/>
          <w:sz w:val="20"/>
          <w:szCs w:val="20"/>
          <w:lang/>
        </w:rPr>
        <w:t xml:space="preserve"> </w:t>
      </w:r>
    </w:p>
    <w:p w:rsidR="00A568C0" w:rsidRDefault="00A568C0" w:rsidP="00A568C0">
      <w:pPr>
        <w:rPr>
          <w:lang/>
        </w:rPr>
      </w:pPr>
      <w:r>
        <w:rPr>
          <w:rFonts w:ascii="Arial" w:hAnsi="Arial" w:cs="Arial"/>
          <w:color w:val="000000"/>
          <w:sz w:val="20"/>
          <w:szCs w:val="20"/>
          <w:lang/>
        </w:rPr>
        <w:t xml:space="preserve">  </w:t>
      </w:r>
    </w:p>
    <w:p w:rsidR="00A568C0" w:rsidRDefault="00A568C0" w:rsidP="00A568C0">
      <w:pPr>
        <w:pStyle w:val="ListParagraph"/>
        <w:numPr>
          <w:ilvl w:val="0"/>
          <w:numId w:val="1"/>
        </w:numPr>
        <w:rPr>
          <w:rFonts w:eastAsia="Times New Roman"/>
          <w:color w:val="000000"/>
          <w:lang/>
        </w:rPr>
      </w:pPr>
      <w:r>
        <w:rPr>
          <w:rFonts w:ascii="Arial" w:eastAsia="Times New Roman" w:hAnsi="Arial" w:cs="Arial"/>
          <w:b/>
          <w:bCs/>
          <w:color w:val="000000"/>
          <w:sz w:val="20"/>
          <w:szCs w:val="20"/>
          <w:lang/>
        </w:rPr>
        <w:t xml:space="preserve">State Aids Guidelines </w:t>
      </w:r>
    </w:p>
    <w:p w:rsidR="00A568C0" w:rsidRDefault="00A568C0" w:rsidP="00A568C0">
      <w:pPr>
        <w:rPr>
          <w:lang/>
        </w:rPr>
      </w:pPr>
      <w:r>
        <w:rPr>
          <w:rFonts w:ascii="Arial" w:hAnsi="Arial" w:cs="Arial"/>
          <w:color w:val="000000"/>
          <w:sz w:val="20"/>
          <w:szCs w:val="20"/>
          <w:lang/>
        </w:rPr>
        <w:t xml:space="preserve">Nothing new so far. </w:t>
      </w:r>
    </w:p>
    <w:p w:rsidR="00A568C0" w:rsidRDefault="00A568C0" w:rsidP="00A568C0">
      <w:pPr>
        <w:rPr>
          <w:lang/>
        </w:rPr>
      </w:pPr>
      <w:r>
        <w:rPr>
          <w:rFonts w:ascii="Arial" w:hAnsi="Arial" w:cs="Arial"/>
          <w:b/>
          <w:bCs/>
          <w:color w:val="000000"/>
          <w:sz w:val="20"/>
          <w:szCs w:val="20"/>
          <w:lang/>
        </w:rPr>
        <w:t> </w:t>
      </w:r>
      <w:r>
        <w:rPr>
          <w:rFonts w:ascii="Arial" w:hAnsi="Arial" w:cs="Arial"/>
          <w:color w:val="000000"/>
          <w:sz w:val="20"/>
          <w:szCs w:val="20"/>
          <w:lang/>
        </w:rPr>
        <w:t xml:space="preserve"> </w:t>
      </w:r>
    </w:p>
    <w:p w:rsidR="00A568C0" w:rsidRDefault="00A568C0" w:rsidP="00A568C0">
      <w:pPr>
        <w:pStyle w:val="ListParagraph"/>
        <w:numPr>
          <w:ilvl w:val="0"/>
          <w:numId w:val="1"/>
        </w:numPr>
        <w:rPr>
          <w:rFonts w:eastAsia="Times New Roman"/>
          <w:color w:val="000000"/>
          <w:lang/>
        </w:rPr>
      </w:pPr>
      <w:r>
        <w:rPr>
          <w:rFonts w:ascii="Arial" w:eastAsia="Times New Roman" w:hAnsi="Arial" w:cs="Arial"/>
          <w:b/>
          <w:bCs/>
          <w:color w:val="000000"/>
          <w:sz w:val="20"/>
          <w:szCs w:val="20"/>
          <w:lang/>
        </w:rPr>
        <w:t xml:space="preserve">2050 Strategy </w:t>
      </w:r>
    </w:p>
    <w:p w:rsidR="00A568C0" w:rsidRDefault="00A568C0" w:rsidP="00A568C0">
      <w:pPr>
        <w:rPr>
          <w:lang/>
        </w:rPr>
      </w:pPr>
      <w:r>
        <w:rPr>
          <w:rFonts w:ascii="Arial" w:hAnsi="Arial" w:cs="Arial"/>
          <w:color w:val="000000"/>
          <w:sz w:val="20"/>
          <w:szCs w:val="20"/>
          <w:lang/>
        </w:rPr>
        <w:t xml:space="preserve">The final modelling published by the Commission did not take into account the data given by RES association. SPE, OEE, BioEnergy are active to express their disagreement. </w:t>
      </w:r>
    </w:p>
    <w:p w:rsidR="00A568C0" w:rsidRDefault="00A568C0" w:rsidP="00A568C0">
      <w:pPr>
        <w:rPr>
          <w:lang/>
        </w:rPr>
      </w:pPr>
      <w:r>
        <w:rPr>
          <w:rFonts w:ascii="Arial" w:hAnsi="Arial" w:cs="Arial"/>
          <w:color w:val="000000"/>
          <w:sz w:val="20"/>
          <w:szCs w:val="20"/>
          <w:lang/>
        </w:rPr>
        <w:t xml:space="preserve">2050 Strategy: Political vision but no information on the final structure. </w:t>
      </w:r>
    </w:p>
    <w:p w:rsidR="00A568C0" w:rsidRDefault="00A568C0" w:rsidP="00A568C0">
      <w:pPr>
        <w:rPr>
          <w:lang/>
        </w:rPr>
      </w:pPr>
      <w:r>
        <w:rPr>
          <w:rFonts w:ascii="Arial" w:hAnsi="Arial" w:cs="Arial"/>
          <w:color w:val="000000"/>
          <w:sz w:val="20"/>
          <w:szCs w:val="20"/>
          <w:lang/>
        </w:rPr>
        <w:t xml:space="preserve">Calendar: </w:t>
      </w:r>
    </w:p>
    <w:p w:rsidR="00A568C0" w:rsidRDefault="00A568C0" w:rsidP="00A568C0">
      <w:pPr>
        <w:pStyle w:val="ListParagraph"/>
        <w:numPr>
          <w:ilvl w:val="0"/>
          <w:numId w:val="4"/>
        </w:numPr>
        <w:rPr>
          <w:rFonts w:eastAsia="Times New Roman"/>
          <w:color w:val="000000"/>
          <w:lang/>
        </w:rPr>
      </w:pPr>
      <w:r>
        <w:rPr>
          <w:rFonts w:ascii="Arial" w:eastAsia="Times New Roman" w:hAnsi="Arial" w:cs="Arial"/>
          <w:color w:val="000000"/>
          <w:sz w:val="20"/>
          <w:szCs w:val="20"/>
          <w:lang/>
        </w:rPr>
        <w:t>1st week of October: finalisation of the draft strategy</w:t>
      </w:r>
    </w:p>
    <w:p w:rsidR="00A568C0" w:rsidRDefault="00A568C0" w:rsidP="00A568C0">
      <w:pPr>
        <w:pStyle w:val="ListParagraph"/>
        <w:numPr>
          <w:ilvl w:val="0"/>
          <w:numId w:val="4"/>
        </w:numPr>
        <w:rPr>
          <w:rFonts w:eastAsia="Times New Roman"/>
          <w:color w:val="000000"/>
          <w:lang/>
        </w:rPr>
      </w:pPr>
      <w:r>
        <w:rPr>
          <w:rFonts w:ascii="Arial" w:eastAsia="Times New Roman" w:hAnsi="Arial" w:cs="Arial"/>
          <w:color w:val="000000"/>
          <w:sz w:val="20"/>
          <w:szCs w:val="20"/>
          <w:lang/>
        </w:rPr>
        <w:t xml:space="preserve">End of November: publication of a communication and SWD </w:t>
      </w:r>
    </w:p>
    <w:p w:rsidR="00A568C0" w:rsidRDefault="00A568C0" w:rsidP="00A568C0">
      <w:pPr>
        <w:rPr>
          <w:lang/>
        </w:rPr>
      </w:pPr>
      <w:r>
        <w:rPr>
          <w:rFonts w:ascii="Arial" w:hAnsi="Arial" w:cs="Arial"/>
          <w:color w:val="000000"/>
          <w:sz w:val="20"/>
          <w:szCs w:val="20"/>
          <w:lang/>
        </w:rPr>
        <w:t xml:space="preserve">  </w:t>
      </w:r>
    </w:p>
    <w:p w:rsidR="00A568C0" w:rsidRDefault="00A568C0" w:rsidP="00A568C0">
      <w:pPr>
        <w:pStyle w:val="ListParagraph"/>
        <w:numPr>
          <w:ilvl w:val="0"/>
          <w:numId w:val="1"/>
        </w:numPr>
        <w:rPr>
          <w:rFonts w:eastAsia="Times New Roman"/>
          <w:color w:val="000000"/>
          <w:lang/>
        </w:rPr>
      </w:pPr>
      <w:r>
        <w:rPr>
          <w:rFonts w:ascii="Arial" w:eastAsia="Times New Roman" w:hAnsi="Arial" w:cs="Arial"/>
          <w:b/>
          <w:bCs/>
          <w:color w:val="000000"/>
          <w:sz w:val="20"/>
          <w:szCs w:val="20"/>
          <w:lang/>
        </w:rPr>
        <w:t>Industry days</w:t>
      </w:r>
      <w:r>
        <w:rPr>
          <w:rFonts w:ascii="Arial" w:eastAsia="Times New Roman" w:hAnsi="Arial" w:cs="Arial"/>
          <w:color w:val="000000"/>
          <w:sz w:val="20"/>
          <w:szCs w:val="20"/>
          <w:lang/>
        </w:rPr>
        <w:t xml:space="preserve"> </w:t>
      </w:r>
    </w:p>
    <w:p w:rsidR="00A568C0" w:rsidRDefault="00A568C0" w:rsidP="00A568C0">
      <w:pPr>
        <w:rPr>
          <w:lang/>
        </w:rPr>
      </w:pPr>
      <w:r>
        <w:rPr>
          <w:rFonts w:ascii="Arial" w:hAnsi="Arial" w:cs="Arial"/>
          <w:color w:val="000000"/>
          <w:sz w:val="20"/>
          <w:szCs w:val="20"/>
          <w:lang/>
        </w:rPr>
        <w:t xml:space="preserve">BioEnergy is coordinating a joint response to the call for a joint session by 30/09 together with SPE, WE, OceanEnergy. </w:t>
      </w:r>
    </w:p>
    <w:p w:rsidR="00A568C0" w:rsidRDefault="00A568C0" w:rsidP="00A568C0">
      <w:pPr>
        <w:rPr>
          <w:lang/>
        </w:rPr>
      </w:pPr>
      <w:r>
        <w:rPr>
          <w:rFonts w:ascii="Arial" w:hAnsi="Arial" w:cs="Arial"/>
          <w:color w:val="000000"/>
          <w:sz w:val="20"/>
          <w:szCs w:val="20"/>
          <w:lang/>
        </w:rPr>
        <w:t xml:space="preserve">There is an opportunity to proposing up to 5 speakers, EC could cover the costs for up to 2 speakers. </w:t>
      </w:r>
    </w:p>
    <w:p w:rsidR="00A568C0" w:rsidRDefault="00A568C0" w:rsidP="00A568C0">
      <w:pPr>
        <w:pStyle w:val="ListParagraph"/>
        <w:numPr>
          <w:ilvl w:val="0"/>
          <w:numId w:val="3"/>
        </w:numPr>
        <w:rPr>
          <w:rFonts w:eastAsia="Times New Roman"/>
          <w:color w:val="000000"/>
          <w:lang/>
        </w:rPr>
      </w:pPr>
      <w:r>
        <w:rPr>
          <w:rFonts w:ascii="Arial" w:eastAsia="Times New Roman" w:hAnsi="Arial" w:cs="Arial"/>
          <w:b/>
          <w:bCs/>
          <w:color w:val="000000"/>
          <w:sz w:val="20"/>
          <w:szCs w:val="20"/>
          <w:lang/>
        </w:rPr>
        <w:t>Associations interested in joining the initiative please contact Bioenergy Giulia. She´ll be distributing a first draft with the proposal.</w:t>
      </w:r>
      <w:r>
        <w:rPr>
          <w:rFonts w:ascii="Arial" w:eastAsia="Times New Roman" w:hAnsi="Arial" w:cs="Arial"/>
          <w:color w:val="000000"/>
          <w:sz w:val="20"/>
          <w:szCs w:val="20"/>
          <w:lang/>
        </w:rPr>
        <w:t xml:space="preserve"> </w:t>
      </w:r>
    </w:p>
    <w:p w:rsidR="00A568C0" w:rsidRDefault="00A568C0" w:rsidP="00A568C0">
      <w:pPr>
        <w:rPr>
          <w:lang/>
        </w:rPr>
      </w:pPr>
      <w:r>
        <w:rPr>
          <w:rFonts w:ascii="Arial" w:hAnsi="Arial" w:cs="Arial"/>
          <w:color w:val="000000"/>
          <w:sz w:val="20"/>
          <w:szCs w:val="20"/>
          <w:lang/>
        </w:rPr>
        <w:t xml:space="preserve">  </w:t>
      </w:r>
    </w:p>
    <w:p w:rsidR="00A568C0" w:rsidRDefault="00A568C0" w:rsidP="00A568C0">
      <w:pPr>
        <w:pStyle w:val="ListParagraph"/>
        <w:numPr>
          <w:ilvl w:val="0"/>
          <w:numId w:val="1"/>
        </w:numPr>
        <w:rPr>
          <w:rFonts w:eastAsia="Times New Roman"/>
          <w:color w:val="000000"/>
          <w:lang/>
        </w:rPr>
      </w:pPr>
      <w:r>
        <w:rPr>
          <w:rFonts w:ascii="Arial" w:eastAsia="Times New Roman" w:hAnsi="Arial" w:cs="Arial"/>
          <w:b/>
          <w:bCs/>
          <w:color w:val="000000"/>
          <w:sz w:val="20"/>
          <w:szCs w:val="20"/>
          <w:lang/>
        </w:rPr>
        <w:t xml:space="preserve">Implementation of RED II </w:t>
      </w:r>
    </w:p>
    <w:p w:rsidR="00A568C0" w:rsidRDefault="00A568C0" w:rsidP="00A568C0">
      <w:pPr>
        <w:rPr>
          <w:lang/>
        </w:rPr>
      </w:pPr>
      <w:r>
        <w:rPr>
          <w:rFonts w:ascii="Arial" w:hAnsi="Arial" w:cs="Arial"/>
          <w:color w:val="000000"/>
          <w:sz w:val="20"/>
          <w:szCs w:val="20"/>
          <w:lang/>
        </w:rPr>
        <w:t xml:space="preserve">There could be an implementation guideline on REDII – the information is not confirmed yet. </w:t>
      </w:r>
    </w:p>
    <w:p w:rsidR="00A568C0" w:rsidRDefault="00A568C0" w:rsidP="00A568C0">
      <w:pPr>
        <w:rPr>
          <w:lang/>
        </w:rPr>
      </w:pPr>
      <w:r>
        <w:rPr>
          <w:rFonts w:ascii="Arial" w:hAnsi="Arial" w:cs="Arial"/>
          <w:color w:val="000000"/>
          <w:sz w:val="20"/>
          <w:szCs w:val="20"/>
          <w:lang/>
        </w:rPr>
        <w:t xml:space="preserve">  </w:t>
      </w:r>
    </w:p>
    <w:p w:rsidR="00A568C0" w:rsidRDefault="00A568C0" w:rsidP="00A568C0">
      <w:pPr>
        <w:pStyle w:val="ListParagraph"/>
        <w:numPr>
          <w:ilvl w:val="0"/>
          <w:numId w:val="1"/>
        </w:numPr>
        <w:rPr>
          <w:rFonts w:eastAsia="Times New Roman"/>
          <w:color w:val="000000"/>
          <w:lang/>
        </w:rPr>
      </w:pPr>
      <w:r>
        <w:rPr>
          <w:rFonts w:ascii="Arial" w:eastAsia="Times New Roman" w:hAnsi="Arial" w:cs="Arial"/>
          <w:b/>
          <w:bCs/>
          <w:color w:val="000000"/>
          <w:sz w:val="20"/>
          <w:szCs w:val="20"/>
          <w:lang/>
        </w:rPr>
        <w:t xml:space="preserve">Group innovation </w:t>
      </w:r>
    </w:p>
    <w:p w:rsidR="00A568C0" w:rsidRDefault="00A568C0" w:rsidP="00A568C0">
      <w:pPr>
        <w:rPr>
          <w:lang/>
        </w:rPr>
      </w:pPr>
      <w:r>
        <w:rPr>
          <w:rFonts w:ascii="Arial" w:hAnsi="Arial" w:cs="Arial"/>
          <w:color w:val="000000"/>
          <w:sz w:val="20"/>
          <w:szCs w:val="20"/>
          <w:lang/>
        </w:rPr>
        <w:t xml:space="preserve">ECF created a new group of NGOs and think-tanks this summer to discuss innovation and energy issues. The group will deal with several files, as Horizon Europe, InvestEU and the ETS innovation fund. It will also reflect on the way of measuring the climate earmarking of the various budgets. </w:t>
      </w:r>
    </w:p>
    <w:p w:rsidR="00A568C0" w:rsidRDefault="00A568C0" w:rsidP="00A568C0">
      <w:pPr>
        <w:pStyle w:val="ListParagraph"/>
        <w:numPr>
          <w:ilvl w:val="0"/>
          <w:numId w:val="3"/>
        </w:numPr>
        <w:rPr>
          <w:rFonts w:eastAsia="Times New Roman"/>
          <w:color w:val="000000"/>
          <w:lang/>
        </w:rPr>
      </w:pPr>
      <w:r>
        <w:rPr>
          <w:rFonts w:ascii="Arial" w:eastAsia="Times New Roman" w:hAnsi="Arial" w:cs="Arial"/>
          <w:b/>
          <w:bCs/>
          <w:color w:val="000000"/>
          <w:sz w:val="20"/>
          <w:szCs w:val="20"/>
          <w:lang/>
        </w:rPr>
        <w:t>EUREC will keep the group</w:t>
      </w:r>
      <w:r>
        <w:rPr>
          <w:rFonts w:ascii="Arial" w:eastAsia="Times New Roman" w:hAnsi="Arial" w:cs="Arial"/>
          <w:color w:val="000000"/>
          <w:sz w:val="20"/>
          <w:szCs w:val="20"/>
          <w:lang/>
        </w:rPr>
        <w:t xml:space="preserve"> </w:t>
      </w:r>
      <w:r>
        <w:rPr>
          <w:rFonts w:ascii="Arial" w:eastAsia="Times New Roman" w:hAnsi="Arial" w:cs="Arial"/>
          <w:b/>
          <w:bCs/>
          <w:color w:val="000000"/>
          <w:sz w:val="20"/>
          <w:szCs w:val="20"/>
          <w:lang/>
        </w:rPr>
        <w:t xml:space="preserve">informed. </w:t>
      </w:r>
    </w:p>
    <w:p w:rsidR="00222062" w:rsidRPr="00A568C0" w:rsidRDefault="00222062">
      <w:pPr>
        <w:rPr>
          <w:lang/>
        </w:rPr>
      </w:pPr>
      <w:bookmarkStart w:id="0" w:name="_GoBack"/>
      <w:bookmarkEnd w:id="0"/>
    </w:p>
    <w:sectPr w:rsidR="00222062" w:rsidRPr="00A5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5EEF"/>
    <w:multiLevelType w:val="hybridMultilevel"/>
    <w:tmpl w:val="4E3A8A9C"/>
    <w:lvl w:ilvl="0" w:tplc="091E45F0">
      <w:start w:val="1"/>
      <w:numFmt w:val="decimal"/>
      <w:lvlText w:val="%1."/>
      <w:lvlJc w:val="left"/>
      <w:pPr>
        <w:ind w:left="720" w:hanging="360"/>
      </w:pPr>
      <w:rPr>
        <w:b/>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17A669A2"/>
    <w:multiLevelType w:val="hybridMultilevel"/>
    <w:tmpl w:val="582641FC"/>
    <w:lvl w:ilvl="0" w:tplc="FC280FB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28033D87"/>
    <w:multiLevelType w:val="hybridMultilevel"/>
    <w:tmpl w:val="BD04F6D0"/>
    <w:lvl w:ilvl="0" w:tplc="64883DBC">
      <w:start w:val="3000"/>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4E0F4847"/>
    <w:multiLevelType w:val="hybridMultilevel"/>
    <w:tmpl w:val="233408FA"/>
    <w:lvl w:ilvl="0" w:tplc="FC280FB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70D56C9E"/>
    <w:multiLevelType w:val="hybridMultilevel"/>
    <w:tmpl w:val="F4621ACC"/>
    <w:lvl w:ilvl="0" w:tplc="AA40FB08">
      <w:numFmt w:val="bullet"/>
      <w:lvlText w:val=""/>
      <w:lvlJc w:val="left"/>
      <w:pPr>
        <w:ind w:left="720" w:hanging="360"/>
      </w:pPr>
      <w:rPr>
        <w:rFonts w:ascii="Wingdings" w:eastAsia="Times New Roman" w:hAnsi="Wingdings" w:cs="Arial" w:hint="default"/>
        <w:b/>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C0"/>
    <w:rsid w:val="00177015"/>
    <w:rsid w:val="00222062"/>
    <w:rsid w:val="00A5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AF2C"/>
  <w15:chartTrackingRefBased/>
  <w15:docId w15:val="{CCF7394A-4FFC-46AE-B1B7-B8A21EFB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8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di Padua</dc:creator>
  <cp:keywords/>
  <dc:description/>
  <cp:lastModifiedBy>Irene di Padua</cp:lastModifiedBy>
  <cp:revision>1</cp:revision>
  <dcterms:created xsi:type="dcterms:W3CDTF">2018-09-26T08:03:00Z</dcterms:created>
  <dcterms:modified xsi:type="dcterms:W3CDTF">2018-09-26T08:56:00Z</dcterms:modified>
</cp:coreProperties>
</file>