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B3" w:rsidRPr="00863EB3" w:rsidRDefault="00863EB3" w:rsidP="00863EB3">
      <w:pPr>
        <w:tabs>
          <w:tab w:val="right" w:pos="9072"/>
        </w:tabs>
        <w:spacing w:line="276" w:lineRule="auto"/>
        <w:jc w:val="center"/>
        <w:rPr>
          <w:rFonts w:ascii="Corbel" w:hAnsi="Corbel"/>
          <w:b/>
          <w:sz w:val="24"/>
          <w:szCs w:val="24"/>
          <w:lang w:val="en-GB"/>
        </w:rPr>
      </w:pPr>
      <w:bookmarkStart w:id="0" w:name="_GoBack"/>
      <w:bookmarkEnd w:id="0"/>
      <w:r w:rsidRPr="00863EB3">
        <w:rPr>
          <w:rFonts w:ascii="Corbel" w:hAnsi="Corbel"/>
          <w:b/>
          <w:sz w:val="24"/>
          <w:szCs w:val="24"/>
          <w:lang w:val="en-GB"/>
        </w:rPr>
        <w:t>Minutes RES Policy meeting 23.05.18</w:t>
      </w:r>
    </w:p>
    <w:p w:rsidR="00863EB3" w:rsidRPr="00863EB3" w:rsidRDefault="00863EB3" w:rsidP="00863EB3">
      <w:pPr>
        <w:spacing w:line="276" w:lineRule="auto"/>
        <w:rPr>
          <w:rFonts w:ascii="Corbel" w:hAnsi="Corbel"/>
          <w:sz w:val="24"/>
          <w:szCs w:val="24"/>
          <w:lang w:val="en-GB"/>
        </w:rPr>
      </w:pPr>
      <w:r w:rsidRPr="00863EB3">
        <w:rPr>
          <w:rFonts w:ascii="Corbel" w:hAnsi="Corbel"/>
          <w:b/>
          <w:sz w:val="24"/>
          <w:szCs w:val="24"/>
          <w:lang w:val="en-GB"/>
        </w:rPr>
        <w:t>Attending:</w:t>
      </w:r>
      <w:r w:rsidRPr="00863EB3">
        <w:rPr>
          <w:rFonts w:ascii="Corbel" w:hAnsi="Corbel"/>
          <w:sz w:val="24"/>
          <w:szCs w:val="24"/>
          <w:lang w:val="en-GB"/>
        </w:rPr>
        <w:t xml:space="preserve"> EGEC, Ocean Energy, EREF, EHPA, SPE, AEBIOM, ESTIF</w:t>
      </w:r>
    </w:p>
    <w:p w:rsidR="00863EB3" w:rsidRPr="00863EB3" w:rsidRDefault="00863EB3" w:rsidP="00863EB3">
      <w:pPr>
        <w:spacing w:line="276" w:lineRule="auto"/>
        <w:rPr>
          <w:rFonts w:ascii="Corbel" w:hAnsi="Corbel"/>
          <w:sz w:val="24"/>
          <w:szCs w:val="24"/>
          <w:lang w:val="en-GB"/>
        </w:rPr>
      </w:pPr>
    </w:p>
    <w:p w:rsidR="00863EB3" w:rsidRPr="00863EB3" w:rsidRDefault="00863EB3" w:rsidP="00863EB3">
      <w:pPr>
        <w:spacing w:line="276" w:lineRule="auto"/>
        <w:rPr>
          <w:rFonts w:ascii="Corbel" w:hAnsi="Corbel"/>
          <w:b/>
          <w:sz w:val="24"/>
          <w:szCs w:val="24"/>
          <w:lang w:val="en-GB"/>
        </w:rPr>
      </w:pPr>
      <w:r w:rsidRPr="00863EB3">
        <w:rPr>
          <w:rFonts w:ascii="Corbel" w:hAnsi="Corbel"/>
          <w:b/>
          <w:sz w:val="24"/>
          <w:szCs w:val="24"/>
          <w:lang w:val="en-GB"/>
        </w:rPr>
        <w:t xml:space="preserve">Agenda: </w:t>
      </w:r>
    </w:p>
    <w:p w:rsidR="00863EB3" w:rsidRPr="00863EB3" w:rsidRDefault="00863EB3" w:rsidP="00863EB3">
      <w:pPr>
        <w:pStyle w:val="Listenabsatz"/>
        <w:numPr>
          <w:ilvl w:val="0"/>
          <w:numId w:val="3"/>
        </w:numPr>
        <w:spacing w:line="276" w:lineRule="auto"/>
        <w:rPr>
          <w:rFonts w:ascii="Corbel" w:hAnsi="Corbel"/>
          <w:sz w:val="24"/>
          <w:szCs w:val="24"/>
          <w:lang w:val="en-GB"/>
        </w:rPr>
      </w:pPr>
      <w:r w:rsidRPr="00863EB3">
        <w:rPr>
          <w:rFonts w:ascii="Corbel" w:hAnsi="Corbel"/>
          <w:sz w:val="24"/>
          <w:szCs w:val="24"/>
          <w:lang w:val="en-GB"/>
        </w:rPr>
        <w:t>Update Trilogue RED II</w:t>
      </w:r>
    </w:p>
    <w:p w:rsidR="00863EB3" w:rsidRPr="00863EB3" w:rsidRDefault="00863EB3" w:rsidP="00863EB3">
      <w:pPr>
        <w:pStyle w:val="Listenabsatz"/>
        <w:numPr>
          <w:ilvl w:val="0"/>
          <w:numId w:val="3"/>
        </w:numPr>
        <w:spacing w:line="276" w:lineRule="auto"/>
        <w:rPr>
          <w:rFonts w:ascii="Corbel" w:hAnsi="Corbel"/>
          <w:sz w:val="24"/>
          <w:szCs w:val="24"/>
          <w:lang w:val="en-GB"/>
        </w:rPr>
      </w:pPr>
      <w:r w:rsidRPr="00863EB3">
        <w:rPr>
          <w:rFonts w:ascii="Corbel" w:hAnsi="Corbel"/>
          <w:sz w:val="24"/>
          <w:szCs w:val="24"/>
          <w:lang w:val="en-GB"/>
        </w:rPr>
        <w:t>Go for 35% campaign</w:t>
      </w:r>
    </w:p>
    <w:p w:rsidR="00863EB3" w:rsidRPr="00863EB3" w:rsidRDefault="00863EB3" w:rsidP="00863EB3">
      <w:pPr>
        <w:pStyle w:val="Listenabsatz"/>
        <w:numPr>
          <w:ilvl w:val="0"/>
          <w:numId w:val="3"/>
        </w:numPr>
        <w:spacing w:line="276" w:lineRule="auto"/>
        <w:rPr>
          <w:rFonts w:ascii="Corbel" w:hAnsi="Corbel"/>
          <w:sz w:val="24"/>
          <w:szCs w:val="24"/>
          <w:lang w:val="en-GB"/>
        </w:rPr>
      </w:pPr>
      <w:r w:rsidRPr="00863EB3">
        <w:rPr>
          <w:rFonts w:ascii="Corbel" w:hAnsi="Corbel"/>
          <w:sz w:val="24"/>
          <w:szCs w:val="24"/>
          <w:lang w:val="en-GB"/>
        </w:rPr>
        <w:t>Update Trilogue Governance</w:t>
      </w:r>
    </w:p>
    <w:p w:rsidR="00863EB3" w:rsidRPr="00863EB3" w:rsidRDefault="00863EB3" w:rsidP="00863EB3">
      <w:pPr>
        <w:pStyle w:val="Listenabsatz"/>
        <w:numPr>
          <w:ilvl w:val="0"/>
          <w:numId w:val="3"/>
        </w:numPr>
        <w:spacing w:line="276" w:lineRule="auto"/>
        <w:rPr>
          <w:rFonts w:ascii="Corbel" w:hAnsi="Corbel"/>
          <w:sz w:val="24"/>
          <w:szCs w:val="24"/>
          <w:lang w:val="en-GB"/>
        </w:rPr>
      </w:pPr>
      <w:r w:rsidRPr="00863EB3">
        <w:rPr>
          <w:rFonts w:ascii="Corbel" w:hAnsi="Corbel"/>
          <w:sz w:val="24"/>
          <w:szCs w:val="24"/>
          <w:lang w:val="en-GB"/>
        </w:rPr>
        <w:t>Update MDI</w:t>
      </w:r>
    </w:p>
    <w:p w:rsidR="00863EB3" w:rsidRPr="00863EB3" w:rsidRDefault="00863EB3" w:rsidP="00863EB3">
      <w:pPr>
        <w:pStyle w:val="Listenabsatz"/>
        <w:numPr>
          <w:ilvl w:val="0"/>
          <w:numId w:val="3"/>
        </w:numPr>
        <w:spacing w:line="276" w:lineRule="auto"/>
        <w:rPr>
          <w:rFonts w:ascii="Corbel" w:hAnsi="Corbel"/>
          <w:sz w:val="24"/>
          <w:szCs w:val="24"/>
          <w:lang w:val="en-GB"/>
        </w:rPr>
      </w:pPr>
      <w:r w:rsidRPr="00863EB3">
        <w:rPr>
          <w:rFonts w:ascii="Corbel" w:hAnsi="Corbel"/>
          <w:sz w:val="24"/>
          <w:szCs w:val="24"/>
          <w:lang w:val="en-GB"/>
        </w:rPr>
        <w:t>New RES Task Force State Aid Guidelines</w:t>
      </w:r>
    </w:p>
    <w:p w:rsidR="00863EB3" w:rsidRPr="00863EB3" w:rsidRDefault="00863EB3" w:rsidP="00863EB3">
      <w:pPr>
        <w:pStyle w:val="Listenabsatz"/>
        <w:numPr>
          <w:ilvl w:val="0"/>
          <w:numId w:val="3"/>
        </w:numPr>
        <w:spacing w:line="276" w:lineRule="auto"/>
        <w:rPr>
          <w:rFonts w:ascii="Corbel" w:hAnsi="Corbel"/>
          <w:sz w:val="24"/>
          <w:szCs w:val="24"/>
          <w:lang w:val="en-GB"/>
        </w:rPr>
      </w:pPr>
      <w:r w:rsidRPr="00863EB3">
        <w:rPr>
          <w:rFonts w:ascii="Corbel" w:hAnsi="Corbel"/>
          <w:sz w:val="24"/>
          <w:szCs w:val="24"/>
          <w:lang w:val="en-GB"/>
        </w:rPr>
        <w:t xml:space="preserve">EU Decarbonisation Strategy for 2050 </w:t>
      </w:r>
    </w:p>
    <w:p w:rsidR="00863EB3" w:rsidRPr="00863EB3" w:rsidRDefault="00863EB3" w:rsidP="00863EB3">
      <w:pPr>
        <w:pStyle w:val="Listenabsatz"/>
        <w:numPr>
          <w:ilvl w:val="0"/>
          <w:numId w:val="3"/>
        </w:numPr>
        <w:spacing w:line="276" w:lineRule="auto"/>
        <w:rPr>
          <w:rFonts w:ascii="Corbel" w:hAnsi="Corbel"/>
          <w:sz w:val="24"/>
          <w:szCs w:val="24"/>
          <w:lang w:val="en-GB"/>
        </w:rPr>
      </w:pPr>
      <w:r w:rsidRPr="00863EB3">
        <w:rPr>
          <w:rFonts w:ascii="Corbel" w:hAnsi="Corbel"/>
          <w:sz w:val="24"/>
          <w:szCs w:val="24"/>
          <w:lang w:val="en-GB"/>
        </w:rPr>
        <w:t xml:space="preserve">2nd joint RES letter on FP 9 </w:t>
      </w:r>
    </w:p>
    <w:p w:rsidR="00863EB3" w:rsidRPr="00863EB3" w:rsidRDefault="00863EB3" w:rsidP="00863EB3">
      <w:pPr>
        <w:pStyle w:val="Listenabsatz"/>
        <w:numPr>
          <w:ilvl w:val="0"/>
          <w:numId w:val="3"/>
        </w:numPr>
        <w:spacing w:line="276" w:lineRule="auto"/>
        <w:rPr>
          <w:rFonts w:ascii="Corbel" w:hAnsi="Corbel"/>
          <w:sz w:val="24"/>
          <w:szCs w:val="24"/>
          <w:lang w:val="en-GB"/>
        </w:rPr>
      </w:pPr>
      <w:r w:rsidRPr="00863EB3">
        <w:rPr>
          <w:rFonts w:ascii="Corbel" w:hAnsi="Corbel"/>
          <w:sz w:val="24"/>
          <w:szCs w:val="24"/>
          <w:lang w:val="en-GB"/>
        </w:rPr>
        <w:t>AOB</w:t>
      </w:r>
    </w:p>
    <w:p w:rsidR="00863EB3" w:rsidRPr="00863EB3" w:rsidRDefault="00863EB3" w:rsidP="00863EB3">
      <w:pPr>
        <w:pStyle w:val="Listenabsatz"/>
        <w:numPr>
          <w:ilvl w:val="0"/>
          <w:numId w:val="3"/>
        </w:numPr>
        <w:spacing w:line="276" w:lineRule="auto"/>
        <w:rPr>
          <w:rFonts w:ascii="Corbel" w:hAnsi="Corbel"/>
          <w:sz w:val="24"/>
          <w:szCs w:val="24"/>
          <w:lang w:val="en-GB"/>
        </w:rPr>
      </w:pPr>
      <w:r w:rsidRPr="00863EB3">
        <w:rPr>
          <w:rFonts w:ascii="Corbel" w:hAnsi="Corbel"/>
          <w:sz w:val="24"/>
          <w:szCs w:val="24"/>
          <w:lang w:val="en-GB"/>
        </w:rPr>
        <w:t>Date and venue of next meeting</w:t>
      </w:r>
    </w:p>
    <w:p w:rsidR="00863EB3" w:rsidRPr="00863EB3" w:rsidRDefault="00863EB3" w:rsidP="00863EB3">
      <w:pPr>
        <w:spacing w:line="276" w:lineRule="auto"/>
        <w:rPr>
          <w:rFonts w:ascii="Corbel" w:hAnsi="Corbel"/>
          <w:sz w:val="24"/>
          <w:szCs w:val="24"/>
          <w:lang w:val="en-GB"/>
        </w:rPr>
      </w:pPr>
    </w:p>
    <w:p w:rsidR="00863EB3" w:rsidRPr="00863EB3" w:rsidRDefault="00863EB3" w:rsidP="00863EB3">
      <w:pPr>
        <w:spacing w:line="276" w:lineRule="auto"/>
        <w:rPr>
          <w:rFonts w:ascii="Corbel" w:hAnsi="Corbel"/>
          <w:b/>
          <w:sz w:val="24"/>
          <w:szCs w:val="24"/>
          <w:lang w:val="en-GB"/>
        </w:rPr>
      </w:pPr>
      <w:r w:rsidRPr="00863EB3">
        <w:rPr>
          <w:rFonts w:ascii="Corbel" w:hAnsi="Corbel"/>
          <w:b/>
          <w:sz w:val="24"/>
          <w:szCs w:val="24"/>
          <w:lang w:val="en-GB"/>
        </w:rPr>
        <w:t>Minutes</w:t>
      </w:r>
    </w:p>
    <w:p w:rsidR="00863EB3" w:rsidRPr="00863EB3" w:rsidRDefault="00863EB3" w:rsidP="00863EB3">
      <w:pPr>
        <w:pStyle w:val="Listenabsatz"/>
        <w:numPr>
          <w:ilvl w:val="0"/>
          <w:numId w:val="1"/>
        </w:numPr>
        <w:spacing w:line="276" w:lineRule="auto"/>
        <w:rPr>
          <w:rFonts w:ascii="Corbel" w:hAnsi="Corbel"/>
          <w:b/>
          <w:sz w:val="24"/>
          <w:szCs w:val="24"/>
          <w:lang w:val="en-GB"/>
        </w:rPr>
      </w:pPr>
      <w:r w:rsidRPr="00863EB3">
        <w:rPr>
          <w:rFonts w:ascii="Corbel" w:hAnsi="Corbel"/>
          <w:b/>
          <w:sz w:val="24"/>
          <w:szCs w:val="24"/>
          <w:lang w:val="en-GB"/>
        </w:rPr>
        <w:t>Trilogue on RED II</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 xml:space="preserve">Ocean Energy met with political assistants; considering the targets they are pushing the Council to go up to 32%. </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3 main topics remaining: targets, supports schemes, biofuels</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 xml:space="preserve">June 11th: Energy Council in Luxembourg is likely to give the mandate for the last round of Trilogue negotiations. Only two weeks left to have any impact on the outcome of the Trilogue on RED II. </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On self-consumption: collective self-consumption, mandatory remuneration, industrial self-consumption still need to be discussed</w:t>
      </w:r>
    </w:p>
    <w:p w:rsidR="00863EB3" w:rsidRPr="00863EB3" w:rsidRDefault="00863EB3" w:rsidP="00863EB3">
      <w:pPr>
        <w:pStyle w:val="Listenabsatz"/>
        <w:spacing w:line="276" w:lineRule="auto"/>
        <w:rPr>
          <w:rFonts w:ascii="Corbel" w:hAnsi="Corbel"/>
          <w:sz w:val="24"/>
          <w:szCs w:val="24"/>
          <w:lang w:val="en-GB"/>
        </w:rPr>
      </w:pPr>
    </w:p>
    <w:p w:rsidR="00863EB3" w:rsidRPr="00863EB3" w:rsidRDefault="00863EB3" w:rsidP="00863EB3">
      <w:pPr>
        <w:pStyle w:val="Listenabsatz"/>
        <w:numPr>
          <w:ilvl w:val="0"/>
          <w:numId w:val="1"/>
        </w:numPr>
        <w:spacing w:line="276" w:lineRule="auto"/>
        <w:rPr>
          <w:rFonts w:ascii="Corbel" w:hAnsi="Corbel"/>
          <w:b/>
          <w:sz w:val="24"/>
          <w:szCs w:val="24"/>
          <w:lang w:val="en-GB"/>
        </w:rPr>
      </w:pPr>
      <w:r w:rsidRPr="00863EB3">
        <w:rPr>
          <w:rFonts w:ascii="Corbel" w:hAnsi="Corbel"/>
          <w:b/>
          <w:sz w:val="24"/>
          <w:szCs w:val="24"/>
          <w:lang w:val="en-GB"/>
        </w:rPr>
        <w:t>Go 35% Campaign</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 xml:space="preserve"> WindEurope prepared a webpage with all necessary arguments and postcards to be printed. Send pictures of other types of RES installations to WindEurope (Pierre Tardieu). The postcards should then be sent to national governments. </w:t>
      </w:r>
    </w:p>
    <w:p w:rsidR="00863EB3" w:rsidRPr="00863EB3" w:rsidRDefault="00863EB3" w:rsidP="00863EB3">
      <w:pPr>
        <w:pStyle w:val="Listenabsatz"/>
        <w:spacing w:line="276" w:lineRule="auto"/>
        <w:rPr>
          <w:rFonts w:ascii="Corbel" w:hAnsi="Corbel"/>
          <w:sz w:val="24"/>
          <w:szCs w:val="24"/>
          <w:lang w:val="en-GB"/>
        </w:rPr>
      </w:pPr>
    </w:p>
    <w:p w:rsidR="00863EB3" w:rsidRPr="00863EB3" w:rsidRDefault="00863EB3" w:rsidP="00863EB3">
      <w:pPr>
        <w:pStyle w:val="Listenabsatz"/>
        <w:numPr>
          <w:ilvl w:val="0"/>
          <w:numId w:val="1"/>
        </w:numPr>
        <w:spacing w:line="276" w:lineRule="auto"/>
        <w:rPr>
          <w:rFonts w:ascii="Corbel" w:hAnsi="Corbel"/>
          <w:b/>
          <w:sz w:val="24"/>
          <w:szCs w:val="24"/>
          <w:lang w:val="en-GB"/>
        </w:rPr>
      </w:pPr>
      <w:r w:rsidRPr="00863EB3">
        <w:rPr>
          <w:rFonts w:ascii="Corbel" w:hAnsi="Corbel"/>
          <w:b/>
          <w:sz w:val="24"/>
          <w:szCs w:val="24"/>
          <w:lang w:val="en-GB"/>
        </w:rPr>
        <w:t>Governance</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 xml:space="preserve">Things seem to go smoothly after the informal Energy Council in Sofia in April. </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 xml:space="preserve">Energy efficiency would be the more complicated part. </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The file would also be closed on 11 June.</w:t>
      </w:r>
    </w:p>
    <w:p w:rsidR="00863EB3" w:rsidRPr="00863EB3" w:rsidRDefault="00863EB3" w:rsidP="00863EB3">
      <w:pPr>
        <w:pStyle w:val="Listenabsatz"/>
        <w:spacing w:line="276" w:lineRule="auto"/>
        <w:rPr>
          <w:rFonts w:ascii="Corbel" w:hAnsi="Corbel"/>
          <w:sz w:val="24"/>
          <w:szCs w:val="24"/>
          <w:lang w:val="en-GB"/>
        </w:rPr>
      </w:pPr>
    </w:p>
    <w:p w:rsidR="00863EB3" w:rsidRPr="00863EB3" w:rsidRDefault="00863EB3" w:rsidP="00863EB3">
      <w:pPr>
        <w:pStyle w:val="Listenabsatz"/>
        <w:numPr>
          <w:ilvl w:val="0"/>
          <w:numId w:val="1"/>
        </w:numPr>
        <w:spacing w:line="276" w:lineRule="auto"/>
        <w:rPr>
          <w:rFonts w:ascii="Corbel" w:hAnsi="Corbel"/>
          <w:b/>
          <w:sz w:val="24"/>
          <w:szCs w:val="24"/>
          <w:lang w:val="en-GB"/>
        </w:rPr>
      </w:pPr>
      <w:r w:rsidRPr="00863EB3">
        <w:rPr>
          <w:rFonts w:ascii="Corbel" w:hAnsi="Corbel"/>
          <w:b/>
          <w:sz w:val="24"/>
          <w:szCs w:val="24"/>
          <w:lang w:val="en-GB"/>
        </w:rPr>
        <w:t>MDI</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Conflicting information on the date of the first Trilogue meeting</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 xml:space="preserve">Preparatory meeting postponed on 20-21 June, it would mean that the first Trilogue would take place in July. </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lastRenderedPageBreak/>
        <w:t xml:space="preserve">Rumours that rapporteur Karins would be running for elections in Estonia. If replaced by MEP Buzek, it would not be good. Some people would favour Sean Kelly, it would be the best option. </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A 4 column document is circulating between MS. To be available on 1</w:t>
      </w:r>
      <w:r w:rsidRPr="00863EB3">
        <w:rPr>
          <w:rFonts w:ascii="Corbel" w:hAnsi="Corbel"/>
          <w:sz w:val="24"/>
          <w:szCs w:val="24"/>
          <w:vertAlign w:val="superscript"/>
          <w:lang w:val="en-GB"/>
        </w:rPr>
        <w:t>st</w:t>
      </w:r>
      <w:r w:rsidRPr="00863EB3">
        <w:rPr>
          <w:rFonts w:ascii="Corbel" w:hAnsi="Corbel"/>
          <w:sz w:val="24"/>
          <w:szCs w:val="24"/>
          <w:lang w:val="en-GB"/>
        </w:rPr>
        <w:t xml:space="preserve"> of June.</w:t>
      </w:r>
    </w:p>
    <w:p w:rsidR="00863EB3" w:rsidRPr="00863EB3" w:rsidRDefault="00863EB3" w:rsidP="00863EB3">
      <w:pPr>
        <w:pStyle w:val="Listenabsatz"/>
        <w:spacing w:line="276" w:lineRule="auto"/>
        <w:rPr>
          <w:rFonts w:ascii="Corbel" w:hAnsi="Corbel"/>
          <w:sz w:val="24"/>
          <w:szCs w:val="24"/>
          <w:lang w:val="en-GB"/>
        </w:rPr>
      </w:pPr>
    </w:p>
    <w:p w:rsidR="00863EB3" w:rsidRPr="00863EB3" w:rsidRDefault="00863EB3" w:rsidP="00863EB3">
      <w:pPr>
        <w:pStyle w:val="Listenabsatz"/>
        <w:numPr>
          <w:ilvl w:val="0"/>
          <w:numId w:val="1"/>
        </w:numPr>
        <w:spacing w:line="276" w:lineRule="auto"/>
        <w:rPr>
          <w:rFonts w:ascii="Corbel" w:hAnsi="Corbel"/>
          <w:b/>
          <w:sz w:val="24"/>
          <w:szCs w:val="24"/>
          <w:lang w:val="en-GB"/>
        </w:rPr>
      </w:pPr>
      <w:r w:rsidRPr="00863EB3">
        <w:rPr>
          <w:rFonts w:ascii="Corbel" w:hAnsi="Corbel"/>
          <w:b/>
          <w:sz w:val="24"/>
          <w:szCs w:val="24"/>
          <w:lang w:val="en-GB"/>
        </w:rPr>
        <w:t>State aid Guidelines</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 xml:space="preserve">To get support within DG Ener. DG Comp is actively working on the revision. The idea that both DGs would work jointly on this is apparently off the table for the moment. Reach out to Paula Abreu Marques and try to convince Director Ristori to go back to the table of negotiations. </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 xml:space="preserve">Technology neutrality point: specific technology auctions are something on which the EP and the Council agree but not the Commission. The energy market is not balanced, rules are required. The cabinet seems open on this but the technical staff level is very much against. Bringing DG Ener more strongly into the game might be the most promising option. Also our allies in the EP and DG RTD for demonstration projects. The Austrian Presidency could also be a good opportunity. </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 xml:space="preserve">How far is DG Comp gone yet? Do they already have text? </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New task force on State Aid Guidelines with EREF, E3G and Client Earth led by Dörte Fouquet who is very familiar with the topic. A few productive meetings since the beginning of April (DG Comp, Austrian Presidency).</w:t>
      </w:r>
    </w:p>
    <w:p w:rsidR="00863EB3" w:rsidRPr="00863EB3" w:rsidRDefault="00863EB3" w:rsidP="00863EB3">
      <w:pPr>
        <w:pStyle w:val="Listenabsatz"/>
        <w:spacing w:line="276" w:lineRule="auto"/>
        <w:rPr>
          <w:rFonts w:ascii="Corbel" w:hAnsi="Corbel"/>
          <w:sz w:val="24"/>
          <w:szCs w:val="24"/>
          <w:lang w:val="en-GB"/>
        </w:rPr>
      </w:pPr>
    </w:p>
    <w:p w:rsidR="00863EB3" w:rsidRPr="00863EB3" w:rsidRDefault="00863EB3" w:rsidP="00863EB3">
      <w:pPr>
        <w:pStyle w:val="Listenabsatz"/>
        <w:numPr>
          <w:ilvl w:val="0"/>
          <w:numId w:val="1"/>
        </w:numPr>
        <w:spacing w:line="276" w:lineRule="auto"/>
        <w:rPr>
          <w:rFonts w:ascii="Corbel" w:hAnsi="Corbel"/>
          <w:b/>
          <w:sz w:val="24"/>
          <w:szCs w:val="24"/>
          <w:lang w:val="en-GB"/>
        </w:rPr>
      </w:pPr>
      <w:r w:rsidRPr="00863EB3">
        <w:rPr>
          <w:rFonts w:ascii="Corbel" w:hAnsi="Corbel"/>
          <w:b/>
          <w:sz w:val="24"/>
          <w:szCs w:val="24"/>
          <w:lang w:val="en-GB"/>
        </w:rPr>
        <w:t>EU Decarbonisation strategy</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Discussed at the steering meeting last week.</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DG Ener would like to have it ready for the COP 24 in Poland.</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 xml:space="preserve">Question: should we do something? Just monitor? </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The message to convey is that decarbonisation should be carried out with renewables.</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Going for CO2 reduction targets is dangerous as it could mean more nuclear instead of more RES.</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 xml:space="preserve">Waste heat could still have a role to play according to EHPA. </w:t>
      </w:r>
    </w:p>
    <w:p w:rsidR="00863EB3" w:rsidRPr="00863EB3" w:rsidRDefault="00863EB3" w:rsidP="00863EB3">
      <w:pPr>
        <w:pStyle w:val="Listenabsatz"/>
        <w:spacing w:line="276" w:lineRule="auto"/>
        <w:rPr>
          <w:rFonts w:ascii="Corbel" w:hAnsi="Corbel"/>
          <w:sz w:val="24"/>
          <w:szCs w:val="24"/>
          <w:lang w:val="en-GB"/>
        </w:rPr>
      </w:pPr>
    </w:p>
    <w:p w:rsidR="00863EB3" w:rsidRPr="00863EB3" w:rsidRDefault="00863EB3" w:rsidP="00863EB3">
      <w:pPr>
        <w:pStyle w:val="Listenabsatz"/>
        <w:numPr>
          <w:ilvl w:val="0"/>
          <w:numId w:val="1"/>
        </w:numPr>
        <w:spacing w:line="276" w:lineRule="auto"/>
        <w:rPr>
          <w:rFonts w:ascii="Corbel" w:hAnsi="Corbel"/>
          <w:b/>
          <w:sz w:val="24"/>
          <w:szCs w:val="24"/>
          <w:lang w:val="en-GB"/>
        </w:rPr>
      </w:pPr>
      <w:r w:rsidRPr="00863EB3">
        <w:rPr>
          <w:rFonts w:ascii="Corbel" w:hAnsi="Corbel"/>
          <w:b/>
          <w:sz w:val="24"/>
          <w:szCs w:val="24"/>
          <w:lang w:val="en-GB"/>
        </w:rPr>
        <w:t>FP9 letter</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 xml:space="preserve">Ocean Energy and Solar Power Europe will find a compromise on the wording. </w:t>
      </w:r>
    </w:p>
    <w:p w:rsidR="00863EB3" w:rsidRPr="00863EB3" w:rsidRDefault="00863EB3" w:rsidP="00863EB3">
      <w:pPr>
        <w:spacing w:line="276" w:lineRule="auto"/>
        <w:rPr>
          <w:rFonts w:ascii="Corbel" w:hAnsi="Corbel"/>
          <w:sz w:val="24"/>
          <w:szCs w:val="24"/>
          <w:lang w:val="en-GB"/>
        </w:rPr>
      </w:pPr>
    </w:p>
    <w:p w:rsidR="00863EB3" w:rsidRPr="00863EB3" w:rsidRDefault="00863EB3" w:rsidP="00863EB3">
      <w:pPr>
        <w:pStyle w:val="Listenabsatz"/>
        <w:numPr>
          <w:ilvl w:val="0"/>
          <w:numId w:val="1"/>
        </w:numPr>
        <w:spacing w:line="276" w:lineRule="auto"/>
        <w:rPr>
          <w:rFonts w:ascii="Corbel" w:hAnsi="Corbel"/>
          <w:b/>
          <w:sz w:val="24"/>
          <w:szCs w:val="24"/>
          <w:lang w:val="en-GB"/>
        </w:rPr>
      </w:pPr>
      <w:r w:rsidRPr="00863EB3">
        <w:rPr>
          <w:rFonts w:ascii="Corbel" w:hAnsi="Corbel"/>
          <w:b/>
          <w:sz w:val="24"/>
          <w:szCs w:val="24"/>
          <w:lang w:val="en-GB"/>
        </w:rPr>
        <w:t>Date and venue of next meeting</w:t>
      </w:r>
    </w:p>
    <w:p w:rsidR="00863EB3" w:rsidRPr="00863EB3" w:rsidRDefault="00863EB3" w:rsidP="00863EB3">
      <w:pPr>
        <w:pStyle w:val="Listenabsatz"/>
        <w:numPr>
          <w:ilvl w:val="0"/>
          <w:numId w:val="2"/>
        </w:numPr>
        <w:spacing w:line="276" w:lineRule="auto"/>
        <w:rPr>
          <w:rFonts w:ascii="Corbel" w:hAnsi="Corbel"/>
          <w:sz w:val="24"/>
          <w:szCs w:val="24"/>
          <w:lang w:val="en-GB"/>
        </w:rPr>
      </w:pPr>
      <w:r w:rsidRPr="00863EB3">
        <w:rPr>
          <w:rFonts w:ascii="Corbel" w:hAnsi="Corbel"/>
          <w:sz w:val="24"/>
          <w:szCs w:val="24"/>
          <w:lang w:val="en-GB"/>
        </w:rPr>
        <w:t>June 12</w:t>
      </w:r>
      <w:r w:rsidRPr="00863EB3">
        <w:rPr>
          <w:rFonts w:ascii="Corbel" w:hAnsi="Corbel"/>
          <w:sz w:val="24"/>
          <w:szCs w:val="24"/>
          <w:vertAlign w:val="superscript"/>
          <w:lang w:val="en-GB"/>
        </w:rPr>
        <w:t>th</w:t>
      </w:r>
      <w:r w:rsidRPr="00863EB3">
        <w:rPr>
          <w:rFonts w:ascii="Corbel" w:hAnsi="Corbel"/>
          <w:sz w:val="24"/>
          <w:szCs w:val="24"/>
          <w:lang w:val="en-GB"/>
        </w:rPr>
        <w:t>, 10h30 to 12h; AEBIOM will chair it in the EREF office</w:t>
      </w:r>
    </w:p>
    <w:p w:rsidR="00863EB3" w:rsidRPr="00863EB3" w:rsidRDefault="00863EB3" w:rsidP="00863EB3">
      <w:pPr>
        <w:spacing w:line="276" w:lineRule="auto"/>
        <w:rPr>
          <w:rFonts w:ascii="Corbel" w:hAnsi="Corbel"/>
          <w:sz w:val="24"/>
          <w:szCs w:val="24"/>
          <w:lang w:val="en-GB"/>
        </w:rPr>
      </w:pPr>
    </w:p>
    <w:p w:rsidR="003D04F7" w:rsidRPr="00863EB3" w:rsidRDefault="003D04F7" w:rsidP="00863EB3">
      <w:pPr>
        <w:spacing w:line="276" w:lineRule="auto"/>
        <w:rPr>
          <w:rFonts w:ascii="Corbel" w:hAnsi="Corbel"/>
          <w:sz w:val="24"/>
          <w:szCs w:val="24"/>
          <w:lang w:val="en-GB"/>
        </w:rPr>
      </w:pPr>
    </w:p>
    <w:sectPr w:rsidR="003D04F7" w:rsidRPr="00863E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1E78"/>
    <w:multiLevelType w:val="hybridMultilevel"/>
    <w:tmpl w:val="CA8AA5A0"/>
    <w:lvl w:ilvl="0" w:tplc="983226E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A116ED"/>
    <w:multiLevelType w:val="hybridMultilevel"/>
    <w:tmpl w:val="DB5ABB12"/>
    <w:lvl w:ilvl="0" w:tplc="DF3CA7A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CDF51ED"/>
    <w:multiLevelType w:val="hybridMultilevel"/>
    <w:tmpl w:val="830A9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B3"/>
    <w:rsid w:val="003D04F7"/>
    <w:rsid w:val="00863EB3"/>
    <w:rsid w:val="009E4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FECC5-F5FF-4399-B57F-81C01FA8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3E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Dirk</dc:creator>
  <cp:keywords/>
  <dc:description/>
  <cp:lastModifiedBy>Bancourt, Pierre</cp:lastModifiedBy>
  <cp:revision>2</cp:revision>
  <dcterms:created xsi:type="dcterms:W3CDTF">2018-05-29T08:53:00Z</dcterms:created>
  <dcterms:modified xsi:type="dcterms:W3CDTF">2018-05-29T08:53:00Z</dcterms:modified>
</cp:coreProperties>
</file>