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76CB" w:rsidRDefault="002576CB" w:rsidP="001C686A">
      <w:pPr>
        <w:jc w:val="center"/>
        <w:rPr>
          <w:rFonts w:asciiTheme="majorHAnsi" w:hAnsiTheme="majorHAnsi"/>
          <w:b/>
        </w:rPr>
      </w:pPr>
      <w:r>
        <w:rPr>
          <w:rFonts w:asciiTheme="majorHAnsi" w:hAnsiTheme="majorHAnsi"/>
          <w:b/>
        </w:rPr>
        <w:t xml:space="preserve">CLEAN </w:t>
      </w:r>
      <w:r w:rsidR="009C1548">
        <w:rPr>
          <w:rFonts w:asciiTheme="majorHAnsi" w:hAnsiTheme="majorHAnsi"/>
          <w:b/>
        </w:rPr>
        <w:t>ENERGY INDUSTRIAL FORUM ON RENE</w:t>
      </w:r>
      <w:r>
        <w:rPr>
          <w:rFonts w:asciiTheme="majorHAnsi" w:hAnsiTheme="majorHAnsi"/>
          <w:b/>
        </w:rPr>
        <w:t>W</w:t>
      </w:r>
      <w:r w:rsidR="009C1548">
        <w:rPr>
          <w:rFonts w:asciiTheme="majorHAnsi" w:hAnsiTheme="majorHAnsi"/>
          <w:b/>
        </w:rPr>
        <w:t>A</w:t>
      </w:r>
      <w:r>
        <w:rPr>
          <w:rFonts w:asciiTheme="majorHAnsi" w:hAnsiTheme="majorHAnsi"/>
          <w:b/>
        </w:rPr>
        <w:t>BLES</w:t>
      </w:r>
    </w:p>
    <w:p w:rsidR="00537376" w:rsidRDefault="002576CB" w:rsidP="001C686A">
      <w:pPr>
        <w:jc w:val="center"/>
        <w:rPr>
          <w:rFonts w:asciiTheme="majorHAnsi" w:hAnsiTheme="majorHAnsi"/>
        </w:rPr>
      </w:pPr>
      <w:r>
        <w:rPr>
          <w:rFonts w:asciiTheme="majorHAnsi" w:hAnsiTheme="majorHAnsi"/>
        </w:rPr>
        <w:t>B</w:t>
      </w:r>
      <w:r w:rsidR="009C1548">
        <w:rPr>
          <w:rFonts w:asciiTheme="majorHAnsi" w:hAnsiTheme="majorHAnsi"/>
        </w:rPr>
        <w:t>ackground paper for the second High-L</w:t>
      </w:r>
      <w:r>
        <w:rPr>
          <w:rFonts w:asciiTheme="majorHAnsi" w:hAnsiTheme="majorHAnsi"/>
        </w:rPr>
        <w:t>evel meeting</w:t>
      </w:r>
    </w:p>
    <w:p w:rsidR="002576CB" w:rsidRDefault="002576CB" w:rsidP="001C686A">
      <w:pPr>
        <w:jc w:val="center"/>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sidR="009C1548">
        <w:rPr>
          <w:rFonts w:asciiTheme="majorHAnsi" w:hAnsiTheme="majorHAnsi"/>
        </w:rPr>
        <w:t>Prepared by the</w:t>
      </w:r>
      <w:r>
        <w:rPr>
          <w:rFonts w:asciiTheme="majorHAnsi" w:hAnsiTheme="majorHAnsi"/>
        </w:rPr>
        <w:t xml:space="preserve"> Task Force</w:t>
      </w:r>
    </w:p>
    <w:p w:rsidR="00450086" w:rsidRPr="002576CB" w:rsidRDefault="00450086" w:rsidP="001C686A">
      <w:pPr>
        <w:jc w:val="center"/>
        <w:rPr>
          <w:rFonts w:asciiTheme="majorHAnsi" w:hAnsiTheme="majorHAnsi"/>
          <w:b/>
        </w:rPr>
      </w:pPr>
    </w:p>
    <w:p w:rsidR="00C155D0" w:rsidRPr="002576CB" w:rsidRDefault="00C155D0" w:rsidP="002576CB">
      <w:pPr>
        <w:jc w:val="both"/>
        <w:rPr>
          <w:rFonts w:ascii="Times New Roman" w:hAnsi="Times New Roman" w:cs="Times New Roman"/>
        </w:rPr>
      </w:pPr>
      <w:r w:rsidRPr="002576CB">
        <w:rPr>
          <w:rFonts w:ascii="Times New Roman" w:hAnsi="Times New Roman" w:cs="Times New Roman"/>
        </w:rPr>
        <w:t xml:space="preserve">The European Union has now agreed on a new regulatory framework for clean energy for the period from 2020 to 2030, and is at the same time developing its long-term decarbonisation strategy for 2050 in the context of the Paris agreement. These developments do not only set a clear pathway for the EU, but also marked a milestone for the world and the global economy. </w:t>
      </w:r>
    </w:p>
    <w:p w:rsidR="009C1548" w:rsidRDefault="00C155D0" w:rsidP="002576CB">
      <w:pPr>
        <w:jc w:val="both"/>
        <w:rPr>
          <w:rFonts w:ascii="Times New Roman" w:hAnsi="Times New Roman" w:cs="Times New Roman"/>
        </w:rPr>
      </w:pPr>
      <w:r w:rsidRPr="002576CB">
        <w:rPr>
          <w:rFonts w:ascii="Times New Roman" w:hAnsi="Times New Roman" w:cs="Times New Roman"/>
        </w:rPr>
        <w:t xml:space="preserve">The global energy transformation is a great opportunity for the European renewable energy industry.  Private capitals are essential as the investment challenge is well beyond the capacity of the public sector alone. Indeed, it is expected that about €180 billion would be needed in additional yearly investments in the environmental, energetic and resource efficiency sectors. </w:t>
      </w:r>
      <w:r w:rsidR="002576CB">
        <w:rPr>
          <w:rFonts w:ascii="Times New Roman" w:hAnsi="Times New Roman" w:cs="Times New Roman"/>
        </w:rPr>
        <w:t xml:space="preserve">At a global level, the IPCC estimates that annually </w:t>
      </w:r>
      <w:r w:rsidR="009C1548">
        <w:rPr>
          <w:rFonts w:ascii="Times New Roman" w:hAnsi="Times New Roman" w:cs="Times New Roman"/>
        </w:rPr>
        <w:t xml:space="preserve">USD </w:t>
      </w:r>
      <w:r w:rsidR="002576CB">
        <w:rPr>
          <w:rFonts w:ascii="Times New Roman" w:hAnsi="Times New Roman" w:cs="Times New Roman"/>
        </w:rPr>
        <w:t>2.5 trill</w:t>
      </w:r>
      <w:r w:rsidR="009C1548">
        <w:rPr>
          <w:rFonts w:ascii="Times New Roman" w:hAnsi="Times New Roman" w:cs="Times New Roman"/>
        </w:rPr>
        <w:t xml:space="preserve">ion would be needed in the period up to 2040 to achieve the Paris Agreement, a significant market opportunity for the European renewable energy industry. </w:t>
      </w:r>
    </w:p>
    <w:p w:rsidR="00E10A66" w:rsidRPr="002576CB" w:rsidRDefault="009C1548" w:rsidP="002576CB">
      <w:pPr>
        <w:jc w:val="both"/>
        <w:rPr>
          <w:rFonts w:ascii="Times New Roman" w:hAnsi="Times New Roman" w:cs="Times New Roman"/>
        </w:rPr>
      </w:pPr>
      <w:r>
        <w:rPr>
          <w:rFonts w:ascii="Times New Roman" w:hAnsi="Times New Roman" w:cs="Times New Roman"/>
        </w:rPr>
        <w:t xml:space="preserve">One of the instruments that the </w:t>
      </w:r>
      <w:r w:rsidR="00C155D0" w:rsidRPr="002576CB">
        <w:rPr>
          <w:rFonts w:ascii="Times New Roman" w:hAnsi="Times New Roman" w:cs="Times New Roman"/>
        </w:rPr>
        <w:t xml:space="preserve">EU </w:t>
      </w:r>
      <w:r>
        <w:rPr>
          <w:rFonts w:ascii="Times New Roman" w:hAnsi="Times New Roman" w:cs="Times New Roman"/>
        </w:rPr>
        <w:t>has to support industry is its</w:t>
      </w:r>
      <w:r w:rsidR="00C155D0" w:rsidRPr="002576CB">
        <w:rPr>
          <w:rFonts w:ascii="Times New Roman" w:hAnsi="Times New Roman" w:cs="Times New Roman"/>
        </w:rPr>
        <w:t xml:space="preserve"> European Fund f</w:t>
      </w:r>
      <w:r>
        <w:rPr>
          <w:rFonts w:ascii="Times New Roman" w:hAnsi="Times New Roman" w:cs="Times New Roman"/>
        </w:rPr>
        <w:t>or Strategic Investments (EFSI), which directed one third of its funds</w:t>
      </w:r>
      <w:r w:rsidR="00C155D0" w:rsidRPr="002576CB">
        <w:rPr>
          <w:rFonts w:ascii="Times New Roman" w:hAnsi="Times New Roman" w:cs="Times New Roman"/>
        </w:rPr>
        <w:t xml:space="preserve"> into energy, environment and resource efficiency, as well as social infrastructure</w:t>
      </w:r>
      <w:r>
        <w:rPr>
          <w:rFonts w:ascii="Times New Roman" w:hAnsi="Times New Roman" w:cs="Times New Roman"/>
        </w:rPr>
        <w:t xml:space="preserve"> in 2017. For</w:t>
      </w:r>
      <w:r w:rsidR="00C155D0" w:rsidRPr="002576CB">
        <w:rPr>
          <w:rFonts w:ascii="Times New Roman" w:hAnsi="Times New Roman" w:cs="Times New Roman"/>
        </w:rPr>
        <w:t xml:space="preserve"> EFSI 2.0</w:t>
      </w:r>
      <w:r>
        <w:rPr>
          <w:rFonts w:ascii="Times New Roman" w:hAnsi="Times New Roman" w:cs="Times New Roman"/>
        </w:rPr>
        <w:t>, the EU</w:t>
      </w:r>
      <w:r w:rsidR="00C155D0" w:rsidRPr="002576CB">
        <w:rPr>
          <w:rFonts w:ascii="Times New Roman" w:hAnsi="Times New Roman" w:cs="Times New Roman"/>
        </w:rPr>
        <w:t xml:space="preserve"> has raised its investment target to €500 billion by 2020, of which more than 40% is going to be directed for projects helping to reach the Paris agreement objectives. </w:t>
      </w:r>
    </w:p>
    <w:p w:rsidR="00A6306D" w:rsidRDefault="00C155D0" w:rsidP="002576CB">
      <w:pPr>
        <w:jc w:val="both"/>
        <w:rPr>
          <w:rFonts w:ascii="Times New Roman" w:hAnsi="Times New Roman" w:cs="Times New Roman"/>
        </w:rPr>
      </w:pPr>
      <w:r w:rsidRPr="002576CB">
        <w:rPr>
          <w:rFonts w:ascii="Times New Roman" w:hAnsi="Times New Roman" w:cs="Times New Roman"/>
        </w:rPr>
        <w:t xml:space="preserve">The 2nd edition of the Clean Energy Industrial Forum aims to address and discuss the critical financing topics related to the investment practices within the renewable energy industry. More precisely, it </w:t>
      </w:r>
      <w:r w:rsidR="00DB556D" w:rsidRPr="002576CB">
        <w:rPr>
          <w:rFonts w:ascii="Times New Roman" w:hAnsi="Times New Roman" w:cs="Times New Roman"/>
        </w:rPr>
        <w:t>will address the topic of financing barriers with particular focus on cross-border, international and innovative projects.</w:t>
      </w:r>
      <w:r w:rsidR="00A6306D" w:rsidRPr="002576CB">
        <w:rPr>
          <w:rFonts w:ascii="Times New Roman" w:hAnsi="Times New Roman" w:cs="Times New Roman"/>
        </w:rPr>
        <w:t xml:space="preserve"> However, it is important to note that different technologies have different degrees of exposure to the various financing challenges. While all larger renewable energy projects will generally require access to long-term financing on a project finance basis, their exposure to other barriers will differ according to the</w:t>
      </w:r>
      <w:r w:rsidR="00294704" w:rsidRPr="002576CB">
        <w:rPr>
          <w:rFonts w:ascii="Times New Roman" w:hAnsi="Times New Roman" w:cs="Times New Roman"/>
        </w:rPr>
        <w:t>ir</w:t>
      </w:r>
      <w:r w:rsidR="00A6306D" w:rsidRPr="002576CB">
        <w:rPr>
          <w:rFonts w:ascii="Times New Roman" w:hAnsi="Times New Roman" w:cs="Times New Roman"/>
        </w:rPr>
        <w:t xml:space="preserve"> specific nature, location and size. </w:t>
      </w:r>
    </w:p>
    <w:p w:rsidR="00450086" w:rsidRPr="002576CB" w:rsidRDefault="00450086" w:rsidP="002576CB">
      <w:pPr>
        <w:jc w:val="both"/>
        <w:rPr>
          <w:rFonts w:ascii="Times New Roman" w:hAnsi="Times New Roman" w:cs="Times New Roman"/>
        </w:rPr>
      </w:pPr>
    </w:p>
    <w:p w:rsidR="00297211" w:rsidRPr="002576CB" w:rsidRDefault="002576CB" w:rsidP="002576CB">
      <w:pPr>
        <w:jc w:val="both"/>
        <w:rPr>
          <w:rFonts w:ascii="Times New Roman" w:hAnsi="Times New Roman" w:cs="Times New Roman"/>
          <w:b/>
          <w:u w:val="single"/>
        </w:rPr>
      </w:pPr>
      <w:r w:rsidRPr="002576CB">
        <w:rPr>
          <w:rFonts w:ascii="Times New Roman" w:hAnsi="Times New Roman" w:cs="Times New Roman"/>
          <w:b/>
          <w:u w:val="single"/>
        </w:rPr>
        <w:t>FINANCING RISKS</w:t>
      </w:r>
    </w:p>
    <w:p w:rsidR="009B01CD" w:rsidRPr="002576CB" w:rsidRDefault="00E10A66" w:rsidP="002576CB">
      <w:pPr>
        <w:jc w:val="both"/>
        <w:rPr>
          <w:rFonts w:ascii="Times New Roman" w:hAnsi="Times New Roman" w:cs="Times New Roman"/>
        </w:rPr>
      </w:pPr>
      <w:r w:rsidRPr="002576CB">
        <w:rPr>
          <w:rFonts w:ascii="Times New Roman" w:hAnsi="Times New Roman" w:cs="Times New Roman"/>
        </w:rPr>
        <w:t xml:space="preserve">Typically, </w:t>
      </w:r>
      <w:r w:rsidR="002576CB">
        <w:rPr>
          <w:rFonts w:ascii="Times New Roman" w:hAnsi="Times New Roman" w:cs="Times New Roman"/>
        </w:rPr>
        <w:t xml:space="preserve">project developers or customers do not have the capabilities to develop or order </w:t>
      </w:r>
      <w:r w:rsidRPr="002576CB">
        <w:rPr>
          <w:rFonts w:ascii="Times New Roman" w:hAnsi="Times New Roman" w:cs="Times New Roman"/>
        </w:rPr>
        <w:t xml:space="preserve">renewable energy projects </w:t>
      </w:r>
      <w:r w:rsidR="002576CB">
        <w:rPr>
          <w:rFonts w:ascii="Times New Roman" w:hAnsi="Times New Roman" w:cs="Times New Roman"/>
        </w:rPr>
        <w:t>purely based on their</w:t>
      </w:r>
      <w:r w:rsidRPr="002576CB">
        <w:rPr>
          <w:rFonts w:ascii="Times New Roman" w:hAnsi="Times New Roman" w:cs="Times New Roman"/>
        </w:rPr>
        <w:t xml:space="preserve"> own saving. Consequently, they have the need to access external finance which means borrowing money from someone else before being able to invest. </w:t>
      </w:r>
      <w:r w:rsidR="00C155D0" w:rsidRPr="002576CB">
        <w:rPr>
          <w:rFonts w:ascii="Times New Roman" w:hAnsi="Times New Roman" w:cs="Times New Roman"/>
        </w:rPr>
        <w:t>Private investors, which provide</w:t>
      </w:r>
      <w:r w:rsidR="00A15C77" w:rsidRPr="002576CB">
        <w:rPr>
          <w:rFonts w:ascii="Times New Roman" w:hAnsi="Times New Roman" w:cs="Times New Roman"/>
        </w:rPr>
        <w:t>d more than</w:t>
      </w:r>
      <w:r w:rsidR="00C155D0" w:rsidRPr="002576CB">
        <w:rPr>
          <w:rFonts w:ascii="Times New Roman" w:hAnsi="Times New Roman" w:cs="Times New Roman"/>
        </w:rPr>
        <w:t xml:space="preserve"> 90% of the</w:t>
      </w:r>
      <w:r w:rsidR="00A15C77" w:rsidRPr="002576CB">
        <w:rPr>
          <w:rFonts w:ascii="Times New Roman" w:hAnsi="Times New Roman" w:cs="Times New Roman"/>
        </w:rPr>
        <w:t xml:space="preserve"> global</w:t>
      </w:r>
      <w:r w:rsidR="00C155D0" w:rsidRPr="002576CB">
        <w:rPr>
          <w:rFonts w:ascii="Times New Roman" w:hAnsi="Times New Roman" w:cs="Times New Roman"/>
        </w:rPr>
        <w:t xml:space="preserve"> financing</w:t>
      </w:r>
      <w:r w:rsidR="008D7A6D" w:rsidRPr="002576CB">
        <w:rPr>
          <w:rFonts w:ascii="Times New Roman" w:hAnsi="Times New Roman" w:cs="Times New Roman"/>
        </w:rPr>
        <w:t xml:space="preserve"> in 2016</w:t>
      </w:r>
      <w:r w:rsidR="00C155D0" w:rsidRPr="002576CB">
        <w:rPr>
          <w:rFonts w:ascii="Times New Roman" w:hAnsi="Times New Roman" w:cs="Times New Roman"/>
        </w:rPr>
        <w:t>, are keys for the development of clean energy projects as a result of the public sector's incapacity to finance them all by its</w:t>
      </w:r>
      <w:r w:rsidR="00DB556D" w:rsidRPr="002576CB">
        <w:rPr>
          <w:rFonts w:ascii="Times New Roman" w:hAnsi="Times New Roman" w:cs="Times New Roman"/>
        </w:rPr>
        <w:t>elf. At the same time, there is</w:t>
      </w:r>
      <w:r w:rsidR="00C155D0" w:rsidRPr="002576CB">
        <w:rPr>
          <w:rFonts w:ascii="Times New Roman" w:hAnsi="Times New Roman" w:cs="Times New Roman"/>
        </w:rPr>
        <w:t xml:space="preserve"> a multitude of</w:t>
      </w:r>
      <w:r w:rsidR="00DB556D" w:rsidRPr="002576CB">
        <w:rPr>
          <w:rFonts w:ascii="Times New Roman" w:hAnsi="Times New Roman" w:cs="Times New Roman"/>
        </w:rPr>
        <w:t xml:space="preserve"> financing</w:t>
      </w:r>
      <w:r w:rsidR="00C155D0" w:rsidRPr="002576CB">
        <w:rPr>
          <w:rFonts w:ascii="Times New Roman" w:hAnsi="Times New Roman" w:cs="Times New Roman"/>
        </w:rPr>
        <w:t xml:space="preserve"> barrie</w:t>
      </w:r>
      <w:r w:rsidR="00DB556D" w:rsidRPr="002576CB">
        <w:rPr>
          <w:rFonts w:ascii="Times New Roman" w:hAnsi="Times New Roman" w:cs="Times New Roman"/>
        </w:rPr>
        <w:t>rs</w:t>
      </w:r>
      <w:r w:rsidR="00C155D0" w:rsidRPr="002576CB">
        <w:rPr>
          <w:rFonts w:ascii="Times New Roman" w:hAnsi="Times New Roman" w:cs="Times New Roman"/>
        </w:rPr>
        <w:t xml:space="preserve"> that need to be faced and that usually lead those investments to be considered as unattractive from the investors' perspective. For this reason, risk mitigation in renewable energy projects is a particularly important matter for developers to have the ability of collecting private capitals.</w:t>
      </w:r>
      <w:r w:rsidR="00DB556D" w:rsidRPr="002576CB">
        <w:rPr>
          <w:rFonts w:ascii="Times New Roman" w:hAnsi="Times New Roman" w:cs="Times New Roman"/>
        </w:rPr>
        <w:t xml:space="preserve"> </w:t>
      </w:r>
    </w:p>
    <w:p w:rsidR="00622F20" w:rsidRPr="002576CB" w:rsidRDefault="009B01CD" w:rsidP="002576CB">
      <w:pPr>
        <w:jc w:val="both"/>
        <w:rPr>
          <w:rFonts w:ascii="Times New Roman" w:hAnsi="Times New Roman" w:cs="Times New Roman"/>
        </w:rPr>
      </w:pPr>
      <w:r w:rsidRPr="002576CB">
        <w:rPr>
          <w:rFonts w:ascii="Times New Roman" w:hAnsi="Times New Roman" w:cs="Times New Roman"/>
        </w:rPr>
        <w:t xml:space="preserve">One of the principal barriers related to financing renewable energy projects is the lack of long-term financing. Generally, </w:t>
      </w:r>
      <w:r w:rsidR="002576CB">
        <w:rPr>
          <w:rFonts w:ascii="Times New Roman" w:hAnsi="Times New Roman" w:cs="Times New Roman"/>
        </w:rPr>
        <w:t>renewable energy d</w:t>
      </w:r>
      <w:r w:rsidRPr="002576CB">
        <w:rPr>
          <w:rFonts w:ascii="Times New Roman" w:hAnsi="Times New Roman" w:cs="Times New Roman"/>
        </w:rPr>
        <w:t>evelopers incur up-front capital cost</w:t>
      </w:r>
      <w:r w:rsidR="000C4A73" w:rsidRPr="002576CB">
        <w:rPr>
          <w:rFonts w:ascii="Times New Roman" w:hAnsi="Times New Roman" w:cs="Times New Roman"/>
        </w:rPr>
        <w:t>s,</w:t>
      </w:r>
      <w:r w:rsidR="002576CB">
        <w:rPr>
          <w:rFonts w:ascii="Times New Roman" w:hAnsi="Times New Roman" w:cs="Times New Roman"/>
        </w:rPr>
        <w:t xml:space="preserve"> but</w:t>
      </w:r>
      <w:r w:rsidR="000C4A73" w:rsidRPr="002576CB">
        <w:rPr>
          <w:rFonts w:ascii="Times New Roman" w:hAnsi="Times New Roman" w:cs="Times New Roman"/>
        </w:rPr>
        <w:t xml:space="preserve"> </w:t>
      </w:r>
      <w:r w:rsidR="00DB556D" w:rsidRPr="002576CB">
        <w:rPr>
          <w:rFonts w:ascii="Times New Roman" w:hAnsi="Times New Roman" w:cs="Times New Roman"/>
        </w:rPr>
        <w:t>low</w:t>
      </w:r>
      <w:r w:rsidR="002576CB">
        <w:rPr>
          <w:rFonts w:ascii="Times New Roman" w:hAnsi="Times New Roman" w:cs="Times New Roman"/>
        </w:rPr>
        <w:t>er</w:t>
      </w:r>
      <w:r w:rsidR="00DB556D" w:rsidRPr="002576CB">
        <w:rPr>
          <w:rFonts w:ascii="Times New Roman" w:hAnsi="Times New Roman" w:cs="Times New Roman"/>
        </w:rPr>
        <w:t xml:space="preserve"> ongoing operating expense</w:t>
      </w:r>
      <w:r w:rsidR="000C4A73" w:rsidRPr="002576CB">
        <w:rPr>
          <w:rFonts w:ascii="Times New Roman" w:hAnsi="Times New Roman" w:cs="Times New Roman"/>
        </w:rPr>
        <w:t>s</w:t>
      </w:r>
      <w:r w:rsidR="002576CB">
        <w:rPr>
          <w:rFonts w:ascii="Times New Roman" w:hAnsi="Times New Roman" w:cs="Times New Roman"/>
        </w:rPr>
        <w:t xml:space="preserve"> compared to conventional technologies</w:t>
      </w:r>
      <w:r w:rsidRPr="002576CB">
        <w:rPr>
          <w:rFonts w:ascii="Times New Roman" w:hAnsi="Times New Roman" w:cs="Times New Roman"/>
        </w:rPr>
        <w:t>. This implies a need for access</w:t>
      </w:r>
      <w:r w:rsidR="00DB556D" w:rsidRPr="002576CB">
        <w:rPr>
          <w:rFonts w:ascii="Times New Roman" w:hAnsi="Times New Roman" w:cs="Times New Roman"/>
        </w:rPr>
        <w:t>ing to long-</w:t>
      </w:r>
      <w:r w:rsidR="00DB556D" w:rsidRPr="002576CB">
        <w:rPr>
          <w:rFonts w:ascii="Times New Roman" w:hAnsi="Times New Roman" w:cs="Times New Roman"/>
        </w:rPr>
        <w:lastRenderedPageBreak/>
        <w:t>term funding. Not disposing</w:t>
      </w:r>
      <w:r w:rsidRPr="002576CB">
        <w:rPr>
          <w:rFonts w:ascii="Times New Roman" w:hAnsi="Times New Roman" w:cs="Times New Roman"/>
        </w:rPr>
        <w:t xml:space="preserve"> such financing may </w:t>
      </w:r>
      <w:r w:rsidR="00DB556D" w:rsidRPr="002576CB">
        <w:rPr>
          <w:rFonts w:ascii="Times New Roman" w:hAnsi="Times New Roman" w:cs="Times New Roman"/>
        </w:rPr>
        <w:t xml:space="preserve">lead to investment decisions </w:t>
      </w:r>
      <w:r w:rsidRPr="002576CB">
        <w:rPr>
          <w:rFonts w:ascii="Times New Roman" w:hAnsi="Times New Roman" w:cs="Times New Roman"/>
        </w:rPr>
        <w:t>be</w:t>
      </w:r>
      <w:r w:rsidR="00DB556D" w:rsidRPr="002576CB">
        <w:rPr>
          <w:rFonts w:ascii="Times New Roman" w:hAnsi="Times New Roman" w:cs="Times New Roman"/>
        </w:rPr>
        <w:t>ing</w:t>
      </w:r>
      <w:r w:rsidRPr="002576CB">
        <w:rPr>
          <w:rFonts w:ascii="Times New Roman" w:hAnsi="Times New Roman" w:cs="Times New Roman"/>
        </w:rPr>
        <w:t xml:space="preserve"> further </w:t>
      </w:r>
      <w:r w:rsidR="00DB556D" w:rsidRPr="002576CB">
        <w:rPr>
          <w:rFonts w:ascii="Times New Roman" w:hAnsi="Times New Roman" w:cs="Times New Roman"/>
        </w:rPr>
        <w:t>bias</w:t>
      </w:r>
      <w:r w:rsidRPr="002576CB">
        <w:rPr>
          <w:rFonts w:ascii="Times New Roman" w:hAnsi="Times New Roman" w:cs="Times New Roman"/>
        </w:rPr>
        <w:t xml:space="preserve"> toward conventional technologies that might be financially viable even with shorter loan terms. </w:t>
      </w:r>
      <w:proofErr w:type="gramStart"/>
      <w:r w:rsidR="002576CB">
        <w:rPr>
          <w:rFonts w:ascii="Times New Roman" w:hAnsi="Times New Roman" w:cs="Times New Roman"/>
        </w:rPr>
        <w:t xml:space="preserve">Outside </w:t>
      </w:r>
      <w:r w:rsidR="00E478AD" w:rsidRPr="002576CB">
        <w:rPr>
          <w:rFonts w:ascii="Times New Roman" w:hAnsi="Times New Roman" w:cs="Times New Roman"/>
        </w:rPr>
        <w:t xml:space="preserve"> the</w:t>
      </w:r>
      <w:proofErr w:type="gramEnd"/>
      <w:r w:rsidR="00E478AD" w:rsidRPr="002576CB">
        <w:rPr>
          <w:rFonts w:ascii="Times New Roman" w:hAnsi="Times New Roman" w:cs="Times New Roman"/>
        </w:rPr>
        <w:t xml:space="preserve"> European Union, t</w:t>
      </w:r>
      <w:r w:rsidR="00BB052F" w:rsidRPr="002576CB">
        <w:rPr>
          <w:rFonts w:ascii="Times New Roman" w:hAnsi="Times New Roman" w:cs="Times New Roman"/>
        </w:rPr>
        <w:t>his barrier can be usually encountered in</w:t>
      </w:r>
      <w:r w:rsidR="005C6626" w:rsidRPr="002576CB">
        <w:rPr>
          <w:rFonts w:ascii="Times New Roman" w:hAnsi="Times New Roman" w:cs="Times New Roman"/>
        </w:rPr>
        <w:t xml:space="preserve"> developing</w:t>
      </w:r>
      <w:r w:rsidR="00BB052F" w:rsidRPr="002576CB">
        <w:rPr>
          <w:rFonts w:ascii="Times New Roman" w:hAnsi="Times New Roman" w:cs="Times New Roman"/>
        </w:rPr>
        <w:t xml:space="preserve"> countries where the financial system is bank-dominated and thus lacking a well-developed capital market </w:t>
      </w:r>
      <w:r w:rsidR="005C6626" w:rsidRPr="002576CB">
        <w:rPr>
          <w:rFonts w:ascii="Times New Roman" w:hAnsi="Times New Roman" w:cs="Times New Roman"/>
        </w:rPr>
        <w:t xml:space="preserve">which also limits the availability of venture capital. </w:t>
      </w:r>
      <w:r w:rsidR="00BB052F" w:rsidRPr="002576CB">
        <w:rPr>
          <w:rFonts w:ascii="Times New Roman" w:hAnsi="Times New Roman" w:cs="Times New Roman"/>
        </w:rPr>
        <w:t>This is particularl</w:t>
      </w:r>
      <w:r w:rsidR="00E478AD" w:rsidRPr="002576CB">
        <w:rPr>
          <w:rFonts w:ascii="Times New Roman" w:hAnsi="Times New Roman" w:cs="Times New Roman"/>
        </w:rPr>
        <w:t>y true in many Asian countries (</w:t>
      </w:r>
      <w:r w:rsidR="000959F0" w:rsidRPr="002576CB">
        <w:rPr>
          <w:rFonts w:ascii="Times New Roman" w:hAnsi="Times New Roman" w:cs="Times New Roman"/>
        </w:rPr>
        <w:t>such as China and India) in which banks are the main source of funding for major projects, including green renewable energy ones.</w:t>
      </w:r>
      <w:r w:rsidR="000C4A73" w:rsidRPr="002576CB">
        <w:rPr>
          <w:rFonts w:ascii="Times New Roman" w:hAnsi="Times New Roman" w:cs="Times New Roman"/>
        </w:rPr>
        <w:t xml:space="preserve"> The main implication arises from a maturity mismatch between banks' liabilities (deposits, which are at most 5 years) and assets (lo</w:t>
      </w:r>
      <w:r w:rsidR="00ED77D1" w:rsidRPr="002576CB">
        <w:rPr>
          <w:rFonts w:ascii="Times New Roman" w:hAnsi="Times New Roman" w:cs="Times New Roman"/>
        </w:rPr>
        <w:t>ng-term lo</w:t>
      </w:r>
      <w:r w:rsidR="000C4A73" w:rsidRPr="002576CB">
        <w:rPr>
          <w:rFonts w:ascii="Times New Roman" w:hAnsi="Times New Roman" w:cs="Times New Roman"/>
        </w:rPr>
        <w:t xml:space="preserve">ans). </w:t>
      </w:r>
      <w:r w:rsidR="005C6626" w:rsidRPr="002576CB">
        <w:rPr>
          <w:rFonts w:ascii="Times New Roman" w:hAnsi="Times New Roman" w:cs="Times New Roman"/>
        </w:rPr>
        <w:t>This reality has a major implication for such projects’ growth because of its impact on the availability of funds for their financing while determining what projects could be financed with the available funds.</w:t>
      </w:r>
      <w:r w:rsidR="00AD6246" w:rsidRPr="002576CB">
        <w:rPr>
          <w:rFonts w:ascii="Times New Roman" w:hAnsi="Times New Roman" w:cs="Times New Roman"/>
        </w:rPr>
        <w:t xml:space="preserve"> </w:t>
      </w:r>
      <w:r w:rsidR="00A071A4" w:rsidRPr="002576CB">
        <w:rPr>
          <w:rFonts w:ascii="Times New Roman" w:hAnsi="Times New Roman" w:cs="Times New Roman"/>
        </w:rPr>
        <w:t>As a consequence</w:t>
      </w:r>
      <w:r w:rsidR="00AD6246" w:rsidRPr="002576CB">
        <w:rPr>
          <w:rFonts w:ascii="Times New Roman" w:hAnsi="Times New Roman" w:cs="Times New Roman"/>
        </w:rPr>
        <w:t xml:space="preserve">, the limited availability of local debt finance can also lead to less favourable lending terms such as high cost, short tenor and variable rates. </w:t>
      </w:r>
    </w:p>
    <w:p w:rsidR="001B3BDA" w:rsidRPr="002576CB" w:rsidRDefault="000910D4" w:rsidP="002576CB">
      <w:pPr>
        <w:jc w:val="both"/>
        <w:rPr>
          <w:rFonts w:ascii="Times New Roman" w:hAnsi="Times New Roman" w:cs="Times New Roman"/>
        </w:rPr>
      </w:pPr>
      <w:r w:rsidRPr="002576CB">
        <w:rPr>
          <w:rFonts w:ascii="Times New Roman" w:hAnsi="Times New Roman" w:cs="Times New Roman"/>
        </w:rPr>
        <w:t>Project finance</w:t>
      </w:r>
      <w:r w:rsidR="0079583D" w:rsidRPr="002576CB">
        <w:rPr>
          <w:rFonts w:ascii="Times New Roman" w:hAnsi="Times New Roman" w:cs="Times New Roman"/>
        </w:rPr>
        <w:t xml:space="preserve"> </w:t>
      </w:r>
      <w:r w:rsidR="00626226" w:rsidRPr="002576CB">
        <w:rPr>
          <w:rFonts w:ascii="Times New Roman" w:hAnsi="Times New Roman" w:cs="Times New Roman"/>
        </w:rPr>
        <w:t>is an increasingly more popular practice for funding renewable energy projects. Since 2004 the use of project finance in new clean energy plants increased from 16% of all projects to a remarkable share of 52% in 2015. Such loan structure relies primarily on the project's cash flow for repayment while the assets, rights and interests are held as secondary collateral.</w:t>
      </w:r>
      <w:r w:rsidR="00CF584A" w:rsidRPr="002576CB">
        <w:rPr>
          <w:rFonts w:ascii="Times New Roman" w:hAnsi="Times New Roman" w:cs="Times New Roman"/>
        </w:rPr>
        <w:t xml:space="preserve"> </w:t>
      </w:r>
      <w:r w:rsidR="00362CC2" w:rsidRPr="002576CB">
        <w:rPr>
          <w:rFonts w:ascii="Times New Roman" w:hAnsi="Times New Roman" w:cs="Times New Roman"/>
        </w:rPr>
        <w:t xml:space="preserve">As a result of attracting large debt with minimum risk, project finance is definitely one of the most suitable financing structures for renewable energy projects. However, </w:t>
      </w:r>
      <w:r w:rsidR="00666E10" w:rsidRPr="002576CB">
        <w:rPr>
          <w:rFonts w:ascii="Times New Roman" w:hAnsi="Times New Roman" w:cs="Times New Roman"/>
        </w:rPr>
        <w:t>within the European Union a successful implementation of project finance can be constrained by the current capital and regulatory framework of the banking sector. Furthermore, renewable energy projects</w:t>
      </w:r>
      <w:r w:rsidR="00362CC2" w:rsidRPr="002576CB">
        <w:rPr>
          <w:rFonts w:ascii="Times New Roman" w:hAnsi="Times New Roman" w:cs="Times New Roman"/>
        </w:rPr>
        <w:t xml:space="preserve"> generally face the barrier of a more limited availability than most conventional technologies as</w:t>
      </w:r>
      <w:r w:rsidR="008D76B6" w:rsidRPr="002576CB">
        <w:rPr>
          <w:rFonts w:ascii="Times New Roman" w:hAnsi="Times New Roman" w:cs="Times New Roman"/>
        </w:rPr>
        <w:t xml:space="preserve"> a result of the </w:t>
      </w:r>
      <w:r w:rsidR="00E43ACF" w:rsidRPr="002576CB">
        <w:rPr>
          <w:rFonts w:ascii="Times New Roman" w:hAnsi="Times New Roman" w:cs="Times New Roman"/>
        </w:rPr>
        <w:t>higher share of capital costs compared to</w:t>
      </w:r>
      <w:r w:rsidR="008D76B6" w:rsidRPr="002576CB">
        <w:rPr>
          <w:rFonts w:ascii="Times New Roman" w:hAnsi="Times New Roman" w:cs="Times New Roman"/>
        </w:rPr>
        <w:t xml:space="preserve"> their total cost</w:t>
      </w:r>
      <w:r w:rsidR="001B3BDA" w:rsidRPr="002576CB">
        <w:rPr>
          <w:rFonts w:ascii="Times New Roman" w:hAnsi="Times New Roman" w:cs="Times New Roman"/>
        </w:rPr>
        <w:t>.</w:t>
      </w:r>
      <w:r w:rsidR="002D4808" w:rsidRPr="002576CB">
        <w:rPr>
          <w:rFonts w:ascii="Times New Roman" w:hAnsi="Times New Roman" w:cs="Times New Roman"/>
        </w:rPr>
        <w:t xml:space="preserve"> </w:t>
      </w:r>
      <w:r w:rsidR="001B269C" w:rsidRPr="002576CB">
        <w:rPr>
          <w:rFonts w:ascii="Times New Roman" w:hAnsi="Times New Roman" w:cs="Times New Roman"/>
        </w:rPr>
        <w:t>In this regard</w:t>
      </w:r>
      <w:r w:rsidR="002D4808" w:rsidRPr="002576CB">
        <w:rPr>
          <w:rFonts w:ascii="Times New Roman" w:hAnsi="Times New Roman" w:cs="Times New Roman"/>
        </w:rPr>
        <w:t>,</w:t>
      </w:r>
      <w:r w:rsidR="001B3BDA" w:rsidRPr="002576CB">
        <w:rPr>
          <w:rFonts w:ascii="Times New Roman" w:hAnsi="Times New Roman" w:cs="Times New Roman"/>
        </w:rPr>
        <w:t xml:space="preserve"> </w:t>
      </w:r>
      <w:r w:rsidR="00ED77D1" w:rsidRPr="002576CB">
        <w:rPr>
          <w:rFonts w:ascii="Times New Roman" w:hAnsi="Times New Roman" w:cs="Times New Roman"/>
        </w:rPr>
        <w:t xml:space="preserve">long-term </w:t>
      </w:r>
      <w:r w:rsidR="008D76B6" w:rsidRPr="002576CB">
        <w:rPr>
          <w:rFonts w:ascii="Times New Roman" w:hAnsi="Times New Roman" w:cs="Times New Roman"/>
        </w:rPr>
        <w:t>Po</w:t>
      </w:r>
      <w:r w:rsidR="00674343" w:rsidRPr="002576CB">
        <w:rPr>
          <w:rFonts w:ascii="Times New Roman" w:hAnsi="Times New Roman" w:cs="Times New Roman"/>
        </w:rPr>
        <w:t>wer Purchasing Agreements (PPAs)</w:t>
      </w:r>
      <w:r w:rsidR="001B3BDA" w:rsidRPr="002576CB">
        <w:rPr>
          <w:rFonts w:ascii="Times New Roman" w:hAnsi="Times New Roman" w:cs="Times New Roman"/>
        </w:rPr>
        <w:t xml:space="preserve"> </w:t>
      </w:r>
      <w:r w:rsidR="00674343" w:rsidRPr="002576CB">
        <w:rPr>
          <w:rFonts w:ascii="Times New Roman" w:hAnsi="Times New Roman" w:cs="Times New Roman"/>
        </w:rPr>
        <w:t>and feed-in-tariffs</w:t>
      </w:r>
      <w:r w:rsidR="001B3BDA" w:rsidRPr="002576CB">
        <w:rPr>
          <w:rFonts w:ascii="Times New Roman" w:hAnsi="Times New Roman" w:cs="Times New Roman"/>
        </w:rPr>
        <w:t xml:space="preserve"> have a significant role</w:t>
      </w:r>
      <w:r w:rsidR="00674343" w:rsidRPr="002576CB">
        <w:rPr>
          <w:rFonts w:ascii="Times New Roman" w:hAnsi="Times New Roman" w:cs="Times New Roman"/>
        </w:rPr>
        <w:t xml:space="preserve"> in many countries in</w:t>
      </w:r>
      <w:r w:rsidR="001B3BDA" w:rsidRPr="002576CB">
        <w:rPr>
          <w:rFonts w:ascii="Times New Roman" w:hAnsi="Times New Roman" w:cs="Times New Roman"/>
        </w:rPr>
        <w:t xml:space="preserve"> securing the investment</w:t>
      </w:r>
      <w:r w:rsidR="0003590E" w:rsidRPr="002576CB">
        <w:rPr>
          <w:rFonts w:ascii="Times New Roman" w:hAnsi="Times New Roman" w:cs="Times New Roman"/>
        </w:rPr>
        <w:t xml:space="preserve"> by providing a fixed periodic inflow</w:t>
      </w:r>
      <w:r w:rsidR="001B3BDA" w:rsidRPr="002576CB">
        <w:rPr>
          <w:rFonts w:ascii="Times New Roman" w:hAnsi="Times New Roman" w:cs="Times New Roman"/>
        </w:rPr>
        <w:t xml:space="preserve">. </w:t>
      </w:r>
      <w:r w:rsidR="00E478AD" w:rsidRPr="002576CB">
        <w:rPr>
          <w:rFonts w:ascii="Times New Roman" w:hAnsi="Times New Roman" w:cs="Times New Roman"/>
        </w:rPr>
        <w:t xml:space="preserve"> </w:t>
      </w:r>
    </w:p>
    <w:p w:rsidR="00D73054" w:rsidRPr="002576CB" w:rsidRDefault="00CD671C" w:rsidP="002576CB">
      <w:pPr>
        <w:jc w:val="both"/>
        <w:rPr>
          <w:rFonts w:ascii="Times New Roman" w:hAnsi="Times New Roman" w:cs="Times New Roman"/>
        </w:rPr>
      </w:pPr>
      <w:r w:rsidRPr="002576CB">
        <w:rPr>
          <w:rFonts w:ascii="Times New Roman" w:hAnsi="Times New Roman" w:cs="Times New Roman"/>
        </w:rPr>
        <w:t>Also the lack of equity finance is a common financing barrier</w:t>
      </w:r>
      <w:r w:rsidR="009C1548">
        <w:rPr>
          <w:rFonts w:ascii="Times New Roman" w:hAnsi="Times New Roman" w:cs="Times New Roman"/>
        </w:rPr>
        <w:t xml:space="preserve"> that is cited for</w:t>
      </w:r>
      <w:r w:rsidRPr="002576CB">
        <w:rPr>
          <w:rFonts w:ascii="Times New Roman" w:hAnsi="Times New Roman" w:cs="Times New Roman"/>
        </w:rPr>
        <w:t xml:space="preserve"> renewable energy projects. </w:t>
      </w:r>
      <w:r w:rsidR="00D73054" w:rsidRPr="002576CB">
        <w:rPr>
          <w:rFonts w:ascii="Times New Roman" w:hAnsi="Times New Roman" w:cs="Times New Roman"/>
        </w:rPr>
        <w:t xml:space="preserve">While large numbers of developers exist, there are only limited numbers of large-scale project sponsors with the ability and willingness to fund them on a corporate finance basis. </w:t>
      </w:r>
      <w:r w:rsidR="00F83620" w:rsidRPr="002576CB">
        <w:rPr>
          <w:rFonts w:ascii="Times New Roman" w:hAnsi="Times New Roman" w:cs="Times New Roman"/>
        </w:rPr>
        <w:t>By being a capital intensive industry, investing in renewable energy can signify waiting a long time (even 25-30 years) before returns are achieved. Such issue clashes significantly with the vision and goals of investors</w:t>
      </w:r>
      <w:r w:rsidR="00840170" w:rsidRPr="002576CB">
        <w:rPr>
          <w:rFonts w:ascii="Times New Roman" w:hAnsi="Times New Roman" w:cs="Times New Roman"/>
        </w:rPr>
        <w:t xml:space="preserve"> such as corporate venture capital</w:t>
      </w:r>
      <w:r w:rsidR="00F83620" w:rsidRPr="002576CB">
        <w:rPr>
          <w:rFonts w:ascii="Times New Roman" w:hAnsi="Times New Roman" w:cs="Times New Roman"/>
        </w:rPr>
        <w:t xml:space="preserve"> that aim to maximise return in a relative short-term (3 to 5 years). Furthermore, r</w:t>
      </w:r>
      <w:r w:rsidR="00D73054" w:rsidRPr="002576CB">
        <w:rPr>
          <w:rFonts w:ascii="Times New Roman" w:hAnsi="Times New Roman" w:cs="Times New Roman"/>
        </w:rPr>
        <w:t xml:space="preserve">enewable energy projects are generally smaller than conventional generation projects, and this is reflected by the size of developers. The lack of equity capital means that project sponsors are often unable to cover the costs of development activities without external assistance. This is even more likely to happen in low-income countries </w:t>
      </w:r>
      <w:r w:rsidR="00C93ECE" w:rsidRPr="002576CB">
        <w:rPr>
          <w:rFonts w:ascii="Times New Roman" w:hAnsi="Times New Roman" w:cs="Times New Roman"/>
        </w:rPr>
        <w:t>as those countries bear higher risks</w:t>
      </w:r>
      <w:r w:rsidR="001814A0" w:rsidRPr="002576CB">
        <w:rPr>
          <w:rFonts w:ascii="Times New Roman" w:hAnsi="Times New Roman" w:cs="Times New Roman"/>
        </w:rPr>
        <w:t xml:space="preserve"> from investors' perspective</w:t>
      </w:r>
      <w:r w:rsidR="00C93ECE" w:rsidRPr="002576CB">
        <w:rPr>
          <w:rFonts w:ascii="Times New Roman" w:hAnsi="Times New Roman" w:cs="Times New Roman"/>
        </w:rPr>
        <w:t xml:space="preserve">. </w:t>
      </w:r>
    </w:p>
    <w:p w:rsidR="004D32B8" w:rsidRDefault="00334668" w:rsidP="002576CB">
      <w:pPr>
        <w:jc w:val="both"/>
        <w:rPr>
          <w:rFonts w:ascii="Times New Roman" w:hAnsi="Times New Roman" w:cs="Times New Roman"/>
        </w:rPr>
      </w:pPr>
      <w:r w:rsidRPr="002576CB">
        <w:rPr>
          <w:rFonts w:ascii="Times New Roman" w:hAnsi="Times New Roman" w:cs="Times New Roman"/>
        </w:rPr>
        <w:t xml:space="preserve">A </w:t>
      </w:r>
      <w:r w:rsidR="00C93ECE" w:rsidRPr="002576CB">
        <w:rPr>
          <w:rFonts w:ascii="Times New Roman" w:hAnsi="Times New Roman" w:cs="Times New Roman"/>
        </w:rPr>
        <w:t xml:space="preserve">further issue </w:t>
      </w:r>
      <w:r w:rsidR="009C1548">
        <w:rPr>
          <w:rFonts w:ascii="Times New Roman" w:hAnsi="Times New Roman" w:cs="Times New Roman"/>
        </w:rPr>
        <w:t xml:space="preserve">that has been mentioned is </w:t>
      </w:r>
      <w:r w:rsidR="00C93ECE" w:rsidRPr="002576CB">
        <w:rPr>
          <w:rFonts w:ascii="Times New Roman" w:hAnsi="Times New Roman" w:cs="Times New Roman"/>
        </w:rPr>
        <w:t xml:space="preserve">the difficulty of financing small scale projects, which arise increasingly more as a result of "decentralization". Indeed, the small size of many renewable energy projects creates significant problems in obtaining private financing. This can be particularly true for example for off-grid solar start-up companies that often face difficulties in securing working capital debt through bank loans and credit lines as a result of the early-stage nature of the business and lack of track record. In addition, economies of scale in due diligence are significant, and many larger financial institutions are generally unwilling to consider small projects. Typical due diligence costs for larger projects can be in the range of $0.5 million to $1 million. International commercial banks are generally not interested in projects below $10 million, while projects up to $20 million will find it difficult to obtain interest. But lower limits may apply for domestic and regional banks operating in smaller economies, especially where these lack the resources themselves to make large scale loans. While </w:t>
      </w:r>
      <w:r w:rsidR="00C93ECE" w:rsidRPr="002576CB">
        <w:rPr>
          <w:rFonts w:ascii="Times New Roman" w:hAnsi="Times New Roman" w:cs="Times New Roman"/>
        </w:rPr>
        <w:lastRenderedPageBreak/>
        <w:t>household, micro and mini systems are obviously far below these limits, even larger grid-connected renewable energy projects are generally smaller than their conventional counterparts. As a result, they often struggle to attract funding from larger financiers. These very small systems also face the problem of lack of local demand in rural areas, leading to underutilized assets and worsening financial returns and attractiveness to financiers.</w:t>
      </w:r>
    </w:p>
    <w:p w:rsidR="00450086" w:rsidRPr="002576CB" w:rsidRDefault="00450086" w:rsidP="002576CB">
      <w:pPr>
        <w:jc w:val="both"/>
        <w:rPr>
          <w:rFonts w:ascii="Times New Roman" w:hAnsi="Times New Roman" w:cs="Times New Roman"/>
        </w:rPr>
      </w:pPr>
    </w:p>
    <w:p w:rsidR="006A0E8B" w:rsidRPr="009C1548" w:rsidRDefault="009C1548" w:rsidP="002576CB">
      <w:pPr>
        <w:jc w:val="both"/>
        <w:rPr>
          <w:rFonts w:ascii="Times New Roman" w:hAnsi="Times New Roman" w:cs="Times New Roman"/>
          <w:b/>
          <w:u w:val="single"/>
        </w:rPr>
      </w:pPr>
      <w:r>
        <w:rPr>
          <w:rFonts w:ascii="Times New Roman" w:hAnsi="Times New Roman" w:cs="Times New Roman"/>
          <w:b/>
          <w:u w:val="single"/>
        </w:rPr>
        <w:t>FINANCING INNOVATION</w:t>
      </w:r>
    </w:p>
    <w:p w:rsidR="00CE1530" w:rsidRPr="002576CB" w:rsidRDefault="00DB129C" w:rsidP="002576CB">
      <w:pPr>
        <w:jc w:val="both"/>
        <w:rPr>
          <w:rFonts w:ascii="Times New Roman" w:hAnsi="Times New Roman" w:cs="Times New Roman"/>
        </w:rPr>
      </w:pPr>
      <w:r w:rsidRPr="002576CB">
        <w:rPr>
          <w:rFonts w:ascii="Times New Roman" w:hAnsi="Times New Roman" w:cs="Times New Roman"/>
        </w:rPr>
        <w:t>On average, publicly owned financial actors clearly had a greater "risk appetite" than privately owned ones.</w:t>
      </w:r>
      <w:r w:rsidR="006A5710" w:rsidRPr="002576CB">
        <w:rPr>
          <w:rFonts w:ascii="Times New Roman" w:hAnsi="Times New Roman" w:cs="Times New Roman"/>
        </w:rPr>
        <w:t xml:space="preserve"> W</w:t>
      </w:r>
      <w:r w:rsidRPr="002576CB">
        <w:rPr>
          <w:rFonts w:ascii="Times New Roman" w:hAnsi="Times New Roman" w:cs="Times New Roman"/>
        </w:rPr>
        <w:t>hile private finance has been greater in size, public finance has provided more high-</w:t>
      </w:r>
      <w:r w:rsidR="00305D46" w:rsidRPr="002576CB">
        <w:rPr>
          <w:rFonts w:ascii="Times New Roman" w:hAnsi="Times New Roman" w:cs="Times New Roman"/>
        </w:rPr>
        <w:t>risk financing</w:t>
      </w:r>
      <w:r w:rsidR="006A5710" w:rsidRPr="002576CB">
        <w:rPr>
          <w:rFonts w:ascii="Times New Roman" w:hAnsi="Times New Roman" w:cs="Times New Roman"/>
        </w:rPr>
        <w:t xml:space="preserve"> such as in the case of innovation. Generally, the more a technology is at an early stage of its development, the more it is perceived as innovative, and inherently risky. Consequently, it is also more likely the need for public funding support. In this sense</w:t>
      </w:r>
      <w:r w:rsidR="00305D46" w:rsidRPr="002576CB">
        <w:rPr>
          <w:rFonts w:ascii="Times New Roman" w:hAnsi="Times New Roman" w:cs="Times New Roman"/>
        </w:rPr>
        <w:t xml:space="preserve">, for the EU is essential to have a strong and dynamic technology and innovation strategy to deliver its policy goals, strengthen its competitiveness and better coordinate investments. The energy technology and innovation policy needs to focus on reducing costs rapidly and speeding up the introduction of new sustainable technologies to the market. Indeed, new technologies are crucial to achieve all of the EU2020 objectives in energy, climate, economic and social policy, as well as those for 2030 and 2050. </w:t>
      </w:r>
    </w:p>
    <w:p w:rsidR="006A5710" w:rsidRPr="002576CB" w:rsidRDefault="006A5710" w:rsidP="002576CB">
      <w:pPr>
        <w:jc w:val="both"/>
        <w:rPr>
          <w:rFonts w:ascii="Times New Roman" w:hAnsi="Times New Roman" w:cs="Times New Roman"/>
        </w:rPr>
      </w:pPr>
      <w:r w:rsidRPr="002576CB">
        <w:rPr>
          <w:rFonts w:ascii="Times New Roman" w:hAnsi="Times New Roman" w:cs="Times New Roman"/>
        </w:rPr>
        <w:t>For ensuring competitive, sustainable and secure energy in the years to come, it is required a significant investment. The EU already provides a number of funding programmes and lending schemes to help companies, regions, and countries to successfully implement innovative energy projects. The EU's Research and Innovation Programme Horizon 2020, NER 300, Cohesion Fund, European Investment Bank are just few of all the different funds, bodies or initiatives that can currently help financing innovation within the renewable energy sector.</w:t>
      </w:r>
    </w:p>
    <w:p w:rsidR="006A5710" w:rsidRDefault="006A5710" w:rsidP="002576CB">
      <w:pPr>
        <w:jc w:val="both"/>
        <w:rPr>
          <w:rFonts w:ascii="Times New Roman" w:hAnsi="Times New Roman" w:cs="Times New Roman"/>
        </w:rPr>
      </w:pPr>
      <w:r w:rsidRPr="002576CB">
        <w:rPr>
          <w:rFonts w:ascii="Times New Roman" w:hAnsi="Times New Roman" w:cs="Times New Roman"/>
        </w:rPr>
        <w:t xml:space="preserve">Importantly, to help the industry and the power sectors meet these innovation and investment challenges, the Commission proposal for revision of the EU ETS post-2020 puts forward an Innovation Fund which will support innovative demonstration projects in energy intensive industries, renewable energy, energy storage and carbon capture, storage and use. </w:t>
      </w:r>
      <w:r w:rsidR="001B269C" w:rsidRPr="002576CB">
        <w:rPr>
          <w:rFonts w:ascii="Times New Roman" w:hAnsi="Times New Roman" w:cs="Times New Roman"/>
        </w:rPr>
        <w:t xml:space="preserve">The design of the Fund, including eligible technologies and financial modalities, will need to address the specific market needs and demand for low-carbon innovation, while ensuring effective use of the funds available. </w:t>
      </w:r>
    </w:p>
    <w:p w:rsidR="00CE1530" w:rsidRPr="009C1548" w:rsidRDefault="009C1548" w:rsidP="002576CB">
      <w:pPr>
        <w:jc w:val="both"/>
        <w:rPr>
          <w:rFonts w:ascii="Times New Roman" w:hAnsi="Times New Roman" w:cs="Times New Roman"/>
          <w:b/>
          <w:u w:val="single"/>
        </w:rPr>
      </w:pPr>
      <w:r>
        <w:rPr>
          <w:rFonts w:ascii="Times New Roman" w:hAnsi="Times New Roman" w:cs="Times New Roman"/>
          <w:b/>
          <w:u w:val="single"/>
        </w:rPr>
        <w:t>FURTHER INITIATIVES</w:t>
      </w:r>
    </w:p>
    <w:p w:rsidR="006A5710" w:rsidRPr="002576CB" w:rsidRDefault="006A5710" w:rsidP="002576CB">
      <w:pPr>
        <w:jc w:val="both"/>
        <w:rPr>
          <w:rFonts w:ascii="Times New Roman" w:hAnsi="Times New Roman" w:cs="Times New Roman"/>
        </w:rPr>
      </w:pPr>
      <w:r w:rsidRPr="002576CB">
        <w:rPr>
          <w:rFonts w:ascii="Times New Roman" w:hAnsi="Times New Roman" w:cs="Times New Roman"/>
        </w:rPr>
        <w:t>The EU is</w:t>
      </w:r>
      <w:r w:rsidR="001A588E" w:rsidRPr="002576CB">
        <w:rPr>
          <w:rFonts w:ascii="Times New Roman" w:hAnsi="Times New Roman" w:cs="Times New Roman"/>
        </w:rPr>
        <w:t xml:space="preserve"> increasingly fostering</w:t>
      </w:r>
      <w:r w:rsidRPr="002576CB">
        <w:rPr>
          <w:rFonts w:ascii="Times New Roman" w:hAnsi="Times New Roman" w:cs="Times New Roman"/>
        </w:rPr>
        <w:t xml:space="preserve"> the internal cooperation between the Member States as well as the regional and multilateral processes with neighbourhood countries through the Energy Union strategy</w:t>
      </w:r>
      <w:r w:rsidR="00E663C5" w:rsidRPr="002576CB">
        <w:rPr>
          <w:rFonts w:ascii="Times New Roman" w:hAnsi="Times New Roman" w:cs="Times New Roman"/>
        </w:rPr>
        <w:t xml:space="preserve"> and the Energy Community</w:t>
      </w:r>
      <w:r w:rsidRPr="002576CB">
        <w:rPr>
          <w:rFonts w:ascii="Times New Roman" w:hAnsi="Times New Roman" w:cs="Times New Roman"/>
        </w:rPr>
        <w:t>. On one side, it is aimed a</w:t>
      </w:r>
      <w:r w:rsidR="003213DC" w:rsidRPr="002576CB">
        <w:rPr>
          <w:rFonts w:ascii="Times New Roman" w:hAnsi="Times New Roman" w:cs="Times New Roman"/>
        </w:rPr>
        <w:t>t facilitating</w:t>
      </w:r>
      <w:r w:rsidRPr="002576CB">
        <w:rPr>
          <w:rFonts w:ascii="Times New Roman" w:hAnsi="Times New Roman" w:cs="Times New Roman"/>
        </w:rPr>
        <w:t xml:space="preserve"> the free flow of energy across borders and a secure supply for every European </w:t>
      </w:r>
      <w:r w:rsidR="003213DC" w:rsidRPr="002576CB">
        <w:rPr>
          <w:rFonts w:ascii="Times New Roman" w:hAnsi="Times New Roman" w:cs="Times New Roman"/>
        </w:rPr>
        <w:t>citizen</w:t>
      </w:r>
      <w:r w:rsidRPr="002576CB">
        <w:rPr>
          <w:rFonts w:ascii="Times New Roman" w:hAnsi="Times New Roman" w:cs="Times New Roman"/>
        </w:rPr>
        <w:t xml:space="preserve">. On the other, new technologies and renewed infrastructure are expected to contribute to cutting household bills and creating new jobs and skills, as companies expand exports and boost growth. This will lead to a sustainable, low carbon and environmentally friendly economy, putting Europe at the forefront of renewable energy production, clean energy technologies, and the fight against global warming. Such objectives are planned to be reached through a number of initiatives such as the </w:t>
      </w:r>
      <w:r w:rsidR="00E736D2">
        <w:rPr>
          <w:rFonts w:ascii="Times New Roman" w:hAnsi="Times New Roman" w:cs="Times New Roman"/>
        </w:rPr>
        <w:t xml:space="preserve">Connecting Europe Facility, which will include a dedicated fund for cross-border renewable energy projects, </w:t>
      </w:r>
      <w:r w:rsidRPr="002576CB">
        <w:rPr>
          <w:rFonts w:ascii="Times New Roman" w:hAnsi="Times New Roman" w:cs="Times New Roman"/>
        </w:rPr>
        <w:t xml:space="preserve">European External Investment Plan (EIP), </w:t>
      </w:r>
      <w:r w:rsidR="00E736D2">
        <w:rPr>
          <w:rFonts w:ascii="Times New Roman" w:hAnsi="Times New Roman" w:cs="Times New Roman"/>
        </w:rPr>
        <w:t xml:space="preserve">a clean energy transition sub-programme in the LIFE programme, </w:t>
      </w:r>
      <w:r w:rsidRPr="002576CB">
        <w:rPr>
          <w:rFonts w:ascii="Times New Roman" w:hAnsi="Times New Roman" w:cs="Times New Roman"/>
        </w:rPr>
        <w:t xml:space="preserve">the Neighbourhood Investment Platform (NIP) or the </w:t>
      </w:r>
      <w:proofErr w:type="spellStart"/>
      <w:r w:rsidRPr="002576CB">
        <w:rPr>
          <w:rFonts w:ascii="Times New Roman" w:hAnsi="Times New Roman" w:cs="Times New Roman"/>
        </w:rPr>
        <w:t>InvestEU</w:t>
      </w:r>
      <w:proofErr w:type="spellEnd"/>
      <w:r w:rsidRPr="002576CB">
        <w:rPr>
          <w:rFonts w:ascii="Times New Roman" w:hAnsi="Times New Roman" w:cs="Times New Roman"/>
        </w:rPr>
        <w:t xml:space="preserve"> Fund.</w:t>
      </w:r>
    </w:p>
    <w:p w:rsidR="009B15E1" w:rsidRDefault="00666E10" w:rsidP="002576CB">
      <w:pPr>
        <w:jc w:val="both"/>
        <w:rPr>
          <w:rFonts w:ascii="Times New Roman" w:hAnsi="Times New Roman" w:cs="Times New Roman"/>
        </w:rPr>
      </w:pPr>
      <w:r w:rsidRPr="002576CB">
        <w:rPr>
          <w:rFonts w:ascii="Times New Roman" w:hAnsi="Times New Roman" w:cs="Times New Roman"/>
        </w:rPr>
        <w:lastRenderedPageBreak/>
        <w:t xml:space="preserve">In addition, if Europe is to mobilise capital at scale for sustainable development, it needs a technically robust classification system to establish market clarity on what is 'sustainable'. Indeed, the lack of a common taxonomy, standard methodologies for reporting and information makes the risk analysis even more difficult. Furthermore, the taxonomy would enable market growth by re-orienting capital flows towards assets that contribute to sustainable development. This </w:t>
      </w:r>
      <w:r w:rsidR="009C1548">
        <w:rPr>
          <w:rFonts w:ascii="Times New Roman" w:hAnsi="Times New Roman" w:cs="Times New Roman"/>
        </w:rPr>
        <w:t>could be done by c</w:t>
      </w:r>
      <w:r w:rsidRPr="002576CB">
        <w:rPr>
          <w:rFonts w:ascii="Times New Roman" w:hAnsi="Times New Roman" w:cs="Times New Roman"/>
        </w:rPr>
        <w:t xml:space="preserve">reating </w:t>
      </w:r>
      <w:r w:rsidR="009C1548">
        <w:rPr>
          <w:rFonts w:ascii="Times New Roman" w:hAnsi="Times New Roman" w:cs="Times New Roman"/>
        </w:rPr>
        <w:t xml:space="preserve">comparable </w:t>
      </w:r>
      <w:r w:rsidRPr="002576CB">
        <w:rPr>
          <w:rFonts w:ascii="Times New Roman" w:hAnsi="Times New Roman" w:cs="Times New Roman"/>
        </w:rPr>
        <w:t>standards, lab</w:t>
      </w:r>
      <w:r w:rsidR="009C1548">
        <w:rPr>
          <w:rFonts w:ascii="Times New Roman" w:hAnsi="Times New Roman" w:cs="Times New Roman"/>
        </w:rPr>
        <w:t>els, products and jurisdictions, and by enab</w:t>
      </w:r>
      <w:r w:rsidRPr="002576CB">
        <w:rPr>
          <w:rFonts w:ascii="Times New Roman" w:hAnsi="Times New Roman" w:cs="Times New Roman"/>
        </w:rPr>
        <w:t>ling market participants to invest in sustainability with greater confidence and ease.</w:t>
      </w:r>
    </w:p>
    <w:p w:rsidR="00450086" w:rsidRDefault="00450086" w:rsidP="002576CB">
      <w:pPr>
        <w:jc w:val="both"/>
        <w:rPr>
          <w:rFonts w:ascii="Times New Roman" w:hAnsi="Times New Roman" w:cs="Times New Roman"/>
          <w:b/>
          <w:u w:val="single"/>
        </w:rPr>
      </w:pPr>
    </w:p>
    <w:p w:rsidR="00756E59" w:rsidRPr="009C1548" w:rsidRDefault="00756E59" w:rsidP="002576CB">
      <w:pPr>
        <w:jc w:val="both"/>
        <w:rPr>
          <w:rFonts w:ascii="Times New Roman" w:hAnsi="Times New Roman" w:cs="Times New Roman"/>
          <w:b/>
          <w:u w:val="single"/>
        </w:rPr>
      </w:pPr>
      <w:r w:rsidRPr="009C1548">
        <w:rPr>
          <w:rFonts w:ascii="Times New Roman" w:hAnsi="Times New Roman" w:cs="Times New Roman"/>
          <w:b/>
          <w:u w:val="single"/>
        </w:rPr>
        <w:t>Q</w:t>
      </w:r>
      <w:r w:rsidR="009C1548">
        <w:rPr>
          <w:rFonts w:ascii="Times New Roman" w:hAnsi="Times New Roman" w:cs="Times New Roman"/>
          <w:b/>
          <w:u w:val="single"/>
        </w:rPr>
        <w:t>UESTIONS FOR THE HIGH-LEVEL MEETING</w:t>
      </w:r>
    </w:p>
    <w:p w:rsidR="00756E59" w:rsidRPr="002576CB" w:rsidRDefault="00756E59" w:rsidP="002576CB">
      <w:pPr>
        <w:jc w:val="both"/>
        <w:rPr>
          <w:rFonts w:ascii="Times New Roman" w:hAnsi="Times New Roman" w:cs="Times New Roman"/>
        </w:rPr>
      </w:pPr>
      <w:r w:rsidRPr="002576CB">
        <w:rPr>
          <w:rFonts w:ascii="Times New Roman" w:hAnsi="Times New Roman" w:cs="Times New Roman"/>
        </w:rPr>
        <w:t>1.</w:t>
      </w:r>
      <w:r w:rsidR="00E663C5" w:rsidRPr="002576CB">
        <w:rPr>
          <w:rFonts w:ascii="Times New Roman" w:hAnsi="Times New Roman" w:cs="Times New Roman"/>
        </w:rPr>
        <w:t xml:space="preserve"> </w:t>
      </w:r>
      <w:r w:rsidR="009C1548">
        <w:rPr>
          <w:rFonts w:ascii="Times New Roman" w:hAnsi="Times New Roman" w:cs="Times New Roman"/>
        </w:rPr>
        <w:t>W</w:t>
      </w:r>
      <w:r w:rsidRPr="002576CB">
        <w:rPr>
          <w:rFonts w:ascii="Times New Roman" w:hAnsi="Times New Roman" w:cs="Times New Roman"/>
        </w:rPr>
        <w:t xml:space="preserve">hich are the most </w:t>
      </w:r>
      <w:r w:rsidR="002D437A" w:rsidRPr="002576CB">
        <w:rPr>
          <w:rFonts w:ascii="Times New Roman" w:hAnsi="Times New Roman" w:cs="Times New Roman"/>
        </w:rPr>
        <w:t>urgent</w:t>
      </w:r>
      <w:r w:rsidRPr="002576CB">
        <w:rPr>
          <w:rFonts w:ascii="Times New Roman" w:hAnsi="Times New Roman" w:cs="Times New Roman"/>
        </w:rPr>
        <w:t xml:space="preserve"> financing barriers </w:t>
      </w:r>
      <w:r w:rsidR="009C1548">
        <w:rPr>
          <w:rFonts w:ascii="Times New Roman" w:hAnsi="Times New Roman" w:cs="Times New Roman"/>
        </w:rPr>
        <w:t>that you face</w:t>
      </w:r>
      <w:r w:rsidRPr="002576CB">
        <w:rPr>
          <w:rFonts w:ascii="Times New Roman" w:hAnsi="Times New Roman" w:cs="Times New Roman"/>
        </w:rPr>
        <w:t xml:space="preserve"> within the EU</w:t>
      </w:r>
      <w:r w:rsidR="00D72D1B" w:rsidRPr="002576CB">
        <w:rPr>
          <w:rFonts w:ascii="Times New Roman" w:hAnsi="Times New Roman" w:cs="Times New Roman"/>
        </w:rPr>
        <w:t xml:space="preserve"> </w:t>
      </w:r>
      <w:r w:rsidRPr="002576CB">
        <w:rPr>
          <w:rFonts w:ascii="Times New Roman" w:hAnsi="Times New Roman" w:cs="Times New Roman"/>
        </w:rPr>
        <w:t>and for cross-border projects?</w:t>
      </w:r>
      <w:r w:rsidR="00D72D1B" w:rsidRPr="002576CB">
        <w:rPr>
          <w:rFonts w:ascii="Times New Roman" w:hAnsi="Times New Roman" w:cs="Times New Roman"/>
        </w:rPr>
        <w:t xml:space="preserve"> </w:t>
      </w:r>
      <w:r w:rsidR="002D437A" w:rsidRPr="002576CB">
        <w:rPr>
          <w:rFonts w:ascii="Times New Roman" w:hAnsi="Times New Roman" w:cs="Times New Roman"/>
        </w:rPr>
        <w:t>Are these</w:t>
      </w:r>
      <w:r w:rsidR="00D72D1B" w:rsidRPr="002576CB">
        <w:rPr>
          <w:rFonts w:ascii="Times New Roman" w:hAnsi="Times New Roman" w:cs="Times New Roman"/>
        </w:rPr>
        <w:t xml:space="preserve"> barriers</w:t>
      </w:r>
      <w:r w:rsidR="002D437A" w:rsidRPr="002576CB">
        <w:rPr>
          <w:rFonts w:ascii="Times New Roman" w:hAnsi="Times New Roman" w:cs="Times New Roman"/>
        </w:rPr>
        <w:t xml:space="preserve"> different when it comes to projects with</w:t>
      </w:r>
      <w:r w:rsidR="00D72D1B" w:rsidRPr="002576CB">
        <w:rPr>
          <w:rFonts w:ascii="Times New Roman" w:hAnsi="Times New Roman" w:cs="Times New Roman"/>
        </w:rPr>
        <w:t xml:space="preserve"> neighbourhood</w:t>
      </w:r>
      <w:r w:rsidR="00B14443" w:rsidRPr="002576CB">
        <w:rPr>
          <w:rFonts w:ascii="Times New Roman" w:hAnsi="Times New Roman" w:cs="Times New Roman"/>
        </w:rPr>
        <w:t xml:space="preserve"> or partner</w:t>
      </w:r>
      <w:r w:rsidR="00D72D1B" w:rsidRPr="002576CB">
        <w:rPr>
          <w:rFonts w:ascii="Times New Roman" w:hAnsi="Times New Roman" w:cs="Times New Roman"/>
        </w:rPr>
        <w:t xml:space="preserve"> countries?</w:t>
      </w:r>
      <w:r w:rsidR="00450086">
        <w:rPr>
          <w:rFonts w:ascii="Times New Roman" w:hAnsi="Times New Roman" w:cs="Times New Roman"/>
        </w:rPr>
        <w:t xml:space="preserve"> </w:t>
      </w:r>
    </w:p>
    <w:p w:rsidR="00756E59" w:rsidRPr="002576CB" w:rsidRDefault="00756E59" w:rsidP="002576CB">
      <w:pPr>
        <w:jc w:val="both"/>
        <w:rPr>
          <w:rFonts w:ascii="Times New Roman" w:hAnsi="Times New Roman" w:cs="Times New Roman"/>
        </w:rPr>
      </w:pPr>
      <w:r w:rsidRPr="002576CB">
        <w:rPr>
          <w:rFonts w:ascii="Times New Roman" w:hAnsi="Times New Roman" w:cs="Times New Roman"/>
        </w:rPr>
        <w:t xml:space="preserve">2. </w:t>
      </w:r>
      <w:r w:rsidR="009C1548">
        <w:rPr>
          <w:rFonts w:ascii="Times New Roman" w:hAnsi="Times New Roman" w:cs="Times New Roman"/>
        </w:rPr>
        <w:t>In your experience, h</w:t>
      </w:r>
      <w:r w:rsidR="00D72D1B" w:rsidRPr="002576CB">
        <w:rPr>
          <w:rFonts w:ascii="Times New Roman" w:hAnsi="Times New Roman" w:cs="Times New Roman"/>
        </w:rPr>
        <w:t>ow can the development of small-scale projects within the EU and in partner and neighbourhood countries be improved?</w:t>
      </w:r>
    </w:p>
    <w:p w:rsidR="00756E59" w:rsidRPr="002576CB" w:rsidRDefault="00756E59" w:rsidP="002576CB">
      <w:pPr>
        <w:jc w:val="both"/>
        <w:rPr>
          <w:rFonts w:ascii="Times New Roman" w:hAnsi="Times New Roman" w:cs="Times New Roman"/>
        </w:rPr>
      </w:pPr>
      <w:r w:rsidRPr="002576CB">
        <w:rPr>
          <w:rFonts w:ascii="Times New Roman" w:hAnsi="Times New Roman" w:cs="Times New Roman"/>
        </w:rPr>
        <w:t>3.</w:t>
      </w:r>
      <w:r w:rsidR="00D72D1B" w:rsidRPr="002576CB">
        <w:rPr>
          <w:rFonts w:ascii="Times New Roman" w:hAnsi="Times New Roman" w:cs="Times New Roman"/>
        </w:rPr>
        <w:t xml:space="preserve"> </w:t>
      </w:r>
      <w:r w:rsidR="00D653BE" w:rsidRPr="002576CB">
        <w:rPr>
          <w:rFonts w:ascii="Times New Roman" w:hAnsi="Times New Roman" w:cs="Times New Roman"/>
        </w:rPr>
        <w:t xml:space="preserve">Is innovation effectively targeted? How would you take advantage from the implementation of Innovation Fund?  </w:t>
      </w:r>
    </w:p>
    <w:p w:rsidR="00756E59" w:rsidRPr="002576CB" w:rsidRDefault="00E663C5" w:rsidP="002576CB">
      <w:pPr>
        <w:jc w:val="both"/>
        <w:rPr>
          <w:rFonts w:ascii="Times New Roman" w:hAnsi="Times New Roman" w:cs="Times New Roman"/>
        </w:rPr>
      </w:pPr>
      <w:r w:rsidRPr="002576CB">
        <w:rPr>
          <w:rFonts w:ascii="Times New Roman" w:hAnsi="Times New Roman" w:cs="Times New Roman"/>
        </w:rPr>
        <w:t>4. Be</w:t>
      </w:r>
      <w:r w:rsidR="00756E59" w:rsidRPr="002576CB">
        <w:rPr>
          <w:rFonts w:ascii="Times New Roman" w:hAnsi="Times New Roman" w:cs="Times New Roman"/>
        </w:rPr>
        <w:t>sides the current available EU initiatives and funds, are there any other specific areas, development stages or locations that the EU should address?</w:t>
      </w:r>
    </w:p>
    <w:p w:rsidR="00756E59" w:rsidRDefault="00756E59" w:rsidP="002576CB">
      <w:pPr>
        <w:jc w:val="both"/>
        <w:rPr>
          <w:rFonts w:ascii="Times New Roman" w:hAnsi="Times New Roman" w:cs="Times New Roman"/>
        </w:rPr>
      </w:pPr>
      <w:r w:rsidRPr="002576CB">
        <w:rPr>
          <w:rFonts w:ascii="Times New Roman" w:hAnsi="Times New Roman" w:cs="Times New Roman"/>
        </w:rPr>
        <w:t>5. Do you consider a 'common taxonomy' a priority for boosting projects' development? How would you take advantage from its implementation?</w:t>
      </w:r>
    </w:p>
    <w:p w:rsidR="00450086" w:rsidRPr="002576CB" w:rsidRDefault="00450086" w:rsidP="002576CB">
      <w:pPr>
        <w:jc w:val="both"/>
        <w:rPr>
          <w:rFonts w:ascii="Times New Roman" w:hAnsi="Times New Roman" w:cs="Times New Roman"/>
        </w:rPr>
      </w:pPr>
      <w:r>
        <w:rPr>
          <w:rFonts w:ascii="Times New Roman" w:hAnsi="Times New Roman" w:cs="Times New Roman"/>
        </w:rPr>
        <w:t>6. Do you have any investment projects within the full European renewable energy industrial supply chain that you consider to be critical for European competitiveness?</w:t>
      </w:r>
    </w:p>
    <w:p w:rsidR="006A5710" w:rsidRPr="002576CB" w:rsidRDefault="006A5710" w:rsidP="002576CB">
      <w:pPr>
        <w:jc w:val="both"/>
        <w:rPr>
          <w:rFonts w:ascii="Times New Roman" w:hAnsi="Times New Roman" w:cs="Times New Roman"/>
        </w:rPr>
      </w:pPr>
    </w:p>
    <w:p w:rsidR="006A5710" w:rsidRPr="002576CB" w:rsidRDefault="006A5710" w:rsidP="002576CB">
      <w:pPr>
        <w:jc w:val="both"/>
        <w:rPr>
          <w:rFonts w:ascii="Times New Roman" w:hAnsi="Times New Roman" w:cs="Times New Roman"/>
        </w:rPr>
      </w:pPr>
    </w:p>
    <w:p w:rsidR="00441232" w:rsidRPr="002576CB" w:rsidRDefault="00441232" w:rsidP="002576CB">
      <w:pPr>
        <w:jc w:val="both"/>
        <w:rPr>
          <w:rFonts w:ascii="Times New Roman" w:hAnsi="Times New Roman" w:cs="Times New Roman"/>
        </w:rPr>
      </w:pPr>
      <w:r w:rsidRPr="002576CB">
        <w:rPr>
          <w:rFonts w:ascii="Times New Roman" w:hAnsi="Times New Roman" w:cs="Times New Roman"/>
        </w:rPr>
        <w:br w:type="page"/>
      </w:r>
    </w:p>
    <w:p w:rsidR="009B15E1" w:rsidRPr="002576CB" w:rsidRDefault="009B15E1" w:rsidP="002576CB">
      <w:pPr>
        <w:jc w:val="both"/>
        <w:rPr>
          <w:rFonts w:ascii="Times New Roman" w:hAnsi="Times New Roman" w:cs="Times New Roman"/>
        </w:rPr>
      </w:pPr>
      <w:r w:rsidRPr="002576CB">
        <w:rPr>
          <w:rFonts w:ascii="Times New Roman" w:hAnsi="Times New Roman" w:cs="Times New Roman"/>
        </w:rPr>
        <w:lastRenderedPageBreak/>
        <w:t>References:</w:t>
      </w:r>
    </w:p>
    <w:p w:rsidR="009B15E1" w:rsidRPr="002576CB" w:rsidRDefault="009B15E1" w:rsidP="002576CB">
      <w:pPr>
        <w:jc w:val="both"/>
        <w:rPr>
          <w:rFonts w:ascii="Times New Roman" w:hAnsi="Times New Roman" w:cs="Times New Roman"/>
        </w:rPr>
      </w:pPr>
      <w:r w:rsidRPr="002576CB">
        <w:rPr>
          <w:rFonts w:ascii="Times New Roman" w:hAnsi="Times New Roman" w:cs="Times New Roman"/>
        </w:rPr>
        <w:t>Agora (2018). Reducing the cost of financing renewables in Europe. Agora.</w:t>
      </w:r>
    </w:p>
    <w:p w:rsidR="009B15E1" w:rsidRPr="002576CB" w:rsidRDefault="009B15E1" w:rsidP="002576CB">
      <w:pPr>
        <w:jc w:val="both"/>
        <w:rPr>
          <w:rFonts w:ascii="Times New Roman" w:hAnsi="Times New Roman" w:cs="Times New Roman"/>
        </w:rPr>
      </w:pPr>
      <w:r w:rsidRPr="002576CB">
        <w:rPr>
          <w:rFonts w:ascii="Times New Roman" w:hAnsi="Times New Roman" w:cs="Times New Roman"/>
        </w:rPr>
        <w:t>Bloomberg (2018). Global Trends in Renewable Energy Investment. Bloomberg.</w:t>
      </w:r>
    </w:p>
    <w:p w:rsidR="009B15E1" w:rsidRPr="002576CB" w:rsidRDefault="009B15E1" w:rsidP="002576CB">
      <w:pPr>
        <w:jc w:val="both"/>
        <w:rPr>
          <w:rFonts w:ascii="Times New Roman" w:hAnsi="Times New Roman" w:cs="Times New Roman"/>
        </w:rPr>
      </w:pPr>
      <w:proofErr w:type="spellStart"/>
      <w:r w:rsidRPr="002576CB">
        <w:rPr>
          <w:rFonts w:ascii="Times New Roman" w:hAnsi="Times New Roman" w:cs="Times New Roman"/>
        </w:rPr>
        <w:t>Boschi</w:t>
      </w:r>
      <w:proofErr w:type="spellEnd"/>
      <w:r w:rsidRPr="002576CB">
        <w:rPr>
          <w:rFonts w:ascii="Times New Roman" w:hAnsi="Times New Roman" w:cs="Times New Roman"/>
        </w:rPr>
        <w:t>, A. (2017). The Financing of RE projects outside the EU - European Investment Bank.</w:t>
      </w:r>
    </w:p>
    <w:p w:rsidR="00F61BA3" w:rsidRPr="002576CB" w:rsidRDefault="00F61BA3" w:rsidP="002576CB">
      <w:pPr>
        <w:jc w:val="both"/>
        <w:rPr>
          <w:rFonts w:ascii="Times New Roman" w:hAnsi="Times New Roman" w:cs="Times New Roman"/>
        </w:rPr>
      </w:pPr>
      <w:r w:rsidRPr="002576CB">
        <w:rPr>
          <w:rFonts w:ascii="Times New Roman" w:hAnsi="Times New Roman" w:cs="Times New Roman"/>
        </w:rPr>
        <w:t>Climate Strategy &amp; Partners (2017). Finance for innovation: Towards the</w:t>
      </w:r>
      <w:r w:rsidRPr="002576CB">
        <w:rPr>
          <w:rFonts w:ascii="Times New Roman" w:hAnsi="Times New Roman" w:cs="Times New Roman"/>
          <w:i/>
          <w:iCs/>
          <w:color w:val="000000"/>
          <w:shd w:val="clear" w:color="auto" w:fill="FFFFFF"/>
        </w:rPr>
        <w:t xml:space="preserve"> ETS Innovation Fund</w:t>
      </w:r>
      <w:r w:rsidRPr="002576CB">
        <w:rPr>
          <w:rFonts w:ascii="Times New Roman" w:hAnsi="Times New Roman" w:cs="Times New Roman"/>
          <w:color w:val="000000"/>
          <w:shd w:val="clear" w:color="auto" w:fill="FFFFFF"/>
        </w:rPr>
        <w:t>.</w:t>
      </w:r>
    </w:p>
    <w:p w:rsidR="009B15E1" w:rsidRPr="002576CB" w:rsidRDefault="009B15E1" w:rsidP="009B15E1">
      <w:pPr>
        <w:rPr>
          <w:rFonts w:ascii="Times New Roman" w:hAnsi="Times New Roman" w:cs="Times New Roman"/>
        </w:rPr>
      </w:pPr>
      <w:r w:rsidRPr="002576CB">
        <w:rPr>
          <w:rFonts w:ascii="Times New Roman" w:hAnsi="Times New Roman" w:cs="Times New Roman"/>
        </w:rPr>
        <w:t xml:space="preserve">EU High-Level Expert Group (2018). </w:t>
      </w:r>
      <w:r w:rsidRPr="002576CB">
        <w:rPr>
          <w:rFonts w:ascii="Times New Roman" w:hAnsi="Times New Roman" w:cs="Times New Roman"/>
          <w:i/>
        </w:rPr>
        <w:t>Financing a Sustainable European Economy</w:t>
      </w:r>
      <w:r w:rsidRPr="002576CB">
        <w:rPr>
          <w:rFonts w:ascii="Times New Roman" w:hAnsi="Times New Roman" w:cs="Times New Roman"/>
        </w:rPr>
        <w:t>. Final Report 2018 by the High-Level Expert Group on Sustainable Finance. EU High-Level Expert Group on Sustainable Finance.</w:t>
      </w:r>
    </w:p>
    <w:p w:rsidR="009B15E1" w:rsidRPr="002576CB" w:rsidRDefault="009B15E1" w:rsidP="009B15E1">
      <w:pPr>
        <w:rPr>
          <w:rFonts w:ascii="Times New Roman" w:hAnsi="Times New Roman" w:cs="Times New Roman"/>
        </w:rPr>
      </w:pPr>
      <w:r w:rsidRPr="002576CB">
        <w:rPr>
          <w:rFonts w:ascii="Times New Roman" w:hAnsi="Times New Roman" w:cs="Times New Roman"/>
        </w:rPr>
        <w:t xml:space="preserve">European Commission (2018). </w:t>
      </w:r>
      <w:r w:rsidRPr="002576CB">
        <w:rPr>
          <w:rFonts w:ascii="Times New Roman" w:hAnsi="Times New Roman" w:cs="Times New Roman"/>
          <w:i/>
        </w:rPr>
        <w:t>2017 Annual Report</w:t>
      </w:r>
      <w:r w:rsidRPr="002576CB">
        <w:rPr>
          <w:rFonts w:ascii="Times New Roman" w:hAnsi="Times New Roman" w:cs="Times New Roman"/>
        </w:rPr>
        <w:t>. DG Development and Cooperation.</w:t>
      </w:r>
    </w:p>
    <w:p w:rsidR="009B15E1" w:rsidRPr="002576CB" w:rsidRDefault="009B15E1" w:rsidP="009B15E1">
      <w:pPr>
        <w:rPr>
          <w:rFonts w:ascii="Times New Roman" w:hAnsi="Times New Roman" w:cs="Times New Roman"/>
        </w:rPr>
      </w:pPr>
      <w:r w:rsidRPr="002576CB">
        <w:rPr>
          <w:rFonts w:ascii="Times New Roman" w:hAnsi="Times New Roman" w:cs="Times New Roman"/>
        </w:rPr>
        <w:t xml:space="preserve">European Commission (n.d.). </w:t>
      </w:r>
      <w:r w:rsidRPr="002576CB">
        <w:rPr>
          <w:rFonts w:ascii="Times New Roman" w:hAnsi="Times New Roman" w:cs="Times New Roman"/>
          <w:i/>
        </w:rPr>
        <w:t>2020 Energy Strategy</w:t>
      </w:r>
      <w:r w:rsidRPr="002576CB">
        <w:rPr>
          <w:rFonts w:ascii="Times New Roman" w:hAnsi="Times New Roman" w:cs="Times New Roman"/>
        </w:rPr>
        <w:t xml:space="preserve">. [online] Energy. Available at: </w:t>
      </w:r>
      <w:hyperlink r:id="rId8" w:history="1">
        <w:r w:rsidRPr="002576CB">
          <w:rPr>
            <w:rStyle w:val="Hyperlink"/>
            <w:rFonts w:ascii="Times New Roman" w:hAnsi="Times New Roman" w:cs="Times New Roman"/>
          </w:rPr>
          <w:t>https://ec.europa.eu/energy/en/topics/energy-strategy-and-energy-union/2020-energy-strategy</w:t>
        </w:r>
      </w:hyperlink>
      <w:r w:rsidRPr="002576CB">
        <w:rPr>
          <w:rFonts w:ascii="Times New Roman" w:hAnsi="Times New Roman" w:cs="Times New Roman"/>
        </w:rPr>
        <w:t xml:space="preserve"> [Accessed 8 Oct. 2018].</w:t>
      </w:r>
    </w:p>
    <w:p w:rsidR="009B15E1" w:rsidRPr="002576CB" w:rsidRDefault="009B15E1" w:rsidP="009B15E1">
      <w:pPr>
        <w:rPr>
          <w:rFonts w:ascii="Times New Roman" w:hAnsi="Times New Roman" w:cs="Times New Roman"/>
        </w:rPr>
      </w:pPr>
      <w:r w:rsidRPr="002576CB">
        <w:rPr>
          <w:rFonts w:ascii="Times New Roman" w:hAnsi="Times New Roman" w:cs="Times New Roman"/>
        </w:rPr>
        <w:t xml:space="preserve">European Commission (2013). </w:t>
      </w:r>
      <w:r w:rsidRPr="002576CB">
        <w:rPr>
          <w:rFonts w:ascii="Times New Roman" w:hAnsi="Times New Roman" w:cs="Times New Roman"/>
          <w:i/>
        </w:rPr>
        <w:t>Communication from the Commission to the European Parliament, the Council, the European Economic and Social Committee and the Committee of the Regions</w:t>
      </w:r>
      <w:r w:rsidRPr="002576CB">
        <w:rPr>
          <w:rFonts w:ascii="Times New Roman" w:hAnsi="Times New Roman" w:cs="Times New Roman"/>
        </w:rPr>
        <w:t>. Brussels: European Commission.</w:t>
      </w:r>
    </w:p>
    <w:p w:rsidR="009B15E1" w:rsidRPr="002576CB" w:rsidRDefault="009B15E1" w:rsidP="009B15E1">
      <w:pPr>
        <w:rPr>
          <w:rFonts w:ascii="Times New Roman" w:hAnsi="Times New Roman" w:cs="Times New Roman"/>
        </w:rPr>
      </w:pPr>
      <w:r w:rsidRPr="002576CB">
        <w:rPr>
          <w:rFonts w:ascii="Times New Roman" w:hAnsi="Times New Roman" w:cs="Times New Roman"/>
        </w:rPr>
        <w:t xml:space="preserve">European Commission (n.d.). </w:t>
      </w:r>
      <w:r w:rsidRPr="002576CB">
        <w:rPr>
          <w:rFonts w:ascii="Times New Roman" w:hAnsi="Times New Roman" w:cs="Times New Roman"/>
          <w:i/>
        </w:rPr>
        <w:t>Funding - Energy</w:t>
      </w:r>
      <w:r w:rsidRPr="002576CB">
        <w:rPr>
          <w:rFonts w:ascii="Times New Roman" w:hAnsi="Times New Roman" w:cs="Times New Roman"/>
        </w:rPr>
        <w:t xml:space="preserve">. [online] Available at: </w:t>
      </w:r>
      <w:hyperlink r:id="rId9" w:history="1">
        <w:r w:rsidRPr="002576CB">
          <w:rPr>
            <w:rStyle w:val="Hyperlink"/>
            <w:rFonts w:ascii="Times New Roman" w:hAnsi="Times New Roman" w:cs="Times New Roman"/>
          </w:rPr>
          <w:t>https://ec.europa.eu/energy/en/funding-and-contracts</w:t>
        </w:r>
      </w:hyperlink>
      <w:r w:rsidRPr="002576CB">
        <w:rPr>
          <w:rFonts w:ascii="Times New Roman" w:hAnsi="Times New Roman" w:cs="Times New Roman"/>
        </w:rPr>
        <w:t xml:space="preserve"> [Accessed 8 Oct. 2018].</w:t>
      </w:r>
    </w:p>
    <w:p w:rsidR="009B15E1" w:rsidRPr="002576CB" w:rsidRDefault="009B15E1" w:rsidP="009B15E1">
      <w:pPr>
        <w:rPr>
          <w:rFonts w:ascii="Times New Roman" w:hAnsi="Times New Roman" w:cs="Times New Roman"/>
        </w:rPr>
      </w:pPr>
      <w:r w:rsidRPr="002576CB">
        <w:rPr>
          <w:rFonts w:ascii="Times New Roman" w:hAnsi="Times New Roman" w:cs="Times New Roman"/>
        </w:rPr>
        <w:t xml:space="preserve">European Commission (n.d.). </w:t>
      </w:r>
      <w:r w:rsidRPr="002576CB">
        <w:rPr>
          <w:rFonts w:ascii="Times New Roman" w:hAnsi="Times New Roman" w:cs="Times New Roman"/>
          <w:i/>
        </w:rPr>
        <w:t>The Eastern Partnership Energy Panel</w:t>
      </w:r>
      <w:r w:rsidRPr="002576CB">
        <w:rPr>
          <w:rFonts w:ascii="Times New Roman" w:hAnsi="Times New Roman" w:cs="Times New Roman"/>
        </w:rPr>
        <w:t xml:space="preserve">. [online] European Commission. Available at: </w:t>
      </w:r>
      <w:hyperlink r:id="rId10" w:history="1">
        <w:r w:rsidRPr="002576CB">
          <w:rPr>
            <w:rStyle w:val="Hyperlink"/>
            <w:rFonts w:ascii="Times New Roman" w:hAnsi="Times New Roman" w:cs="Times New Roman"/>
          </w:rPr>
          <w:t>https://ec.europa.eu/energy/en/events/eastern-partnership-energy-panel</w:t>
        </w:r>
      </w:hyperlink>
      <w:r w:rsidRPr="002576CB">
        <w:rPr>
          <w:rFonts w:ascii="Times New Roman" w:hAnsi="Times New Roman" w:cs="Times New Roman"/>
        </w:rPr>
        <w:t xml:space="preserve"> [Accessed 8 Oct. 2018].</w:t>
      </w:r>
    </w:p>
    <w:p w:rsidR="009B15E1" w:rsidRPr="002576CB" w:rsidRDefault="009B15E1" w:rsidP="009B15E1">
      <w:pPr>
        <w:rPr>
          <w:rFonts w:ascii="Times New Roman" w:hAnsi="Times New Roman" w:cs="Times New Roman"/>
        </w:rPr>
      </w:pPr>
      <w:proofErr w:type="spellStart"/>
      <w:r w:rsidRPr="002576CB">
        <w:rPr>
          <w:rFonts w:ascii="Times New Roman" w:hAnsi="Times New Roman" w:cs="Times New Roman"/>
        </w:rPr>
        <w:t>Glachant</w:t>
      </w:r>
      <w:proofErr w:type="spellEnd"/>
      <w:r w:rsidRPr="002576CB">
        <w:rPr>
          <w:rFonts w:ascii="Times New Roman" w:hAnsi="Times New Roman" w:cs="Times New Roman"/>
        </w:rPr>
        <w:t xml:space="preserve">, J. and </w:t>
      </w:r>
      <w:proofErr w:type="spellStart"/>
      <w:r w:rsidRPr="002576CB">
        <w:rPr>
          <w:rFonts w:ascii="Times New Roman" w:hAnsi="Times New Roman" w:cs="Times New Roman"/>
        </w:rPr>
        <w:t>Khalfallah</w:t>
      </w:r>
      <w:proofErr w:type="spellEnd"/>
      <w:r w:rsidRPr="002576CB">
        <w:rPr>
          <w:rFonts w:ascii="Times New Roman" w:hAnsi="Times New Roman" w:cs="Times New Roman"/>
        </w:rPr>
        <w:t>, H. (2011). I</w:t>
      </w:r>
      <w:r w:rsidRPr="002576CB">
        <w:rPr>
          <w:rFonts w:ascii="Times New Roman" w:hAnsi="Times New Roman" w:cs="Times New Roman"/>
          <w:i/>
        </w:rPr>
        <w:t>dentifying Benefits and Allocating Costs for European Cross-Border Infrastructure Projects</w:t>
      </w:r>
      <w:r w:rsidRPr="002576CB">
        <w:rPr>
          <w:rFonts w:ascii="Times New Roman" w:hAnsi="Times New Roman" w:cs="Times New Roman"/>
        </w:rPr>
        <w:t>. European University Institute.</w:t>
      </w:r>
    </w:p>
    <w:p w:rsidR="009B15E1" w:rsidRPr="002576CB" w:rsidRDefault="009B15E1" w:rsidP="009B15E1">
      <w:pPr>
        <w:rPr>
          <w:rFonts w:ascii="Times New Roman" w:hAnsi="Times New Roman" w:cs="Times New Roman"/>
        </w:rPr>
      </w:pPr>
      <w:r w:rsidRPr="002576CB">
        <w:rPr>
          <w:rFonts w:ascii="Times New Roman" w:hAnsi="Times New Roman" w:cs="Times New Roman"/>
        </w:rPr>
        <w:t>IRENA (2016). Unlocking Renewable Energy Investment: The Role of Risk Mitigation and Structured Finance. IRENA.</w:t>
      </w:r>
    </w:p>
    <w:p w:rsidR="00F61BA3" w:rsidRPr="002576CB" w:rsidRDefault="00F61BA3" w:rsidP="009B15E1">
      <w:pPr>
        <w:rPr>
          <w:rFonts w:ascii="Times New Roman" w:hAnsi="Times New Roman" w:cs="Times New Roman"/>
        </w:rPr>
      </w:pPr>
      <w:r w:rsidRPr="002576CB">
        <w:rPr>
          <w:rFonts w:ascii="Times New Roman" w:hAnsi="Times New Roman" w:cs="Times New Roman"/>
          <w:color w:val="000000"/>
          <w:shd w:val="clear" w:color="auto" w:fill="FFFFFF"/>
        </w:rPr>
        <w:t>Jackson, F. (2011). Corporates' venture. </w:t>
      </w:r>
      <w:r w:rsidRPr="002576CB">
        <w:rPr>
          <w:rFonts w:ascii="Times New Roman" w:hAnsi="Times New Roman" w:cs="Times New Roman"/>
          <w:i/>
          <w:iCs/>
          <w:color w:val="000000"/>
          <w:shd w:val="clear" w:color="auto" w:fill="FFFFFF"/>
        </w:rPr>
        <w:t>Renewable Energy Focus</w:t>
      </w:r>
      <w:r w:rsidRPr="002576CB">
        <w:rPr>
          <w:rFonts w:ascii="Times New Roman" w:hAnsi="Times New Roman" w:cs="Times New Roman"/>
          <w:color w:val="000000"/>
          <w:shd w:val="clear" w:color="auto" w:fill="FFFFFF"/>
        </w:rPr>
        <w:t>, 12(5), pp.30-33.</w:t>
      </w:r>
    </w:p>
    <w:p w:rsidR="00F61BA3" w:rsidRPr="002576CB" w:rsidRDefault="00F61BA3" w:rsidP="009B15E1">
      <w:pPr>
        <w:rPr>
          <w:rFonts w:ascii="Times New Roman" w:hAnsi="Times New Roman" w:cs="Times New Roman"/>
        </w:rPr>
      </w:pPr>
      <w:proofErr w:type="spellStart"/>
      <w:r w:rsidRPr="002576CB">
        <w:rPr>
          <w:rFonts w:ascii="Times New Roman" w:hAnsi="Times New Roman" w:cs="Times New Roman"/>
          <w:color w:val="000000"/>
          <w:shd w:val="clear" w:color="auto" w:fill="FFFFFF"/>
        </w:rPr>
        <w:t>Mazzucato</w:t>
      </w:r>
      <w:proofErr w:type="spellEnd"/>
      <w:r w:rsidRPr="002576CB">
        <w:rPr>
          <w:rFonts w:ascii="Times New Roman" w:hAnsi="Times New Roman" w:cs="Times New Roman"/>
          <w:color w:val="000000"/>
          <w:shd w:val="clear" w:color="auto" w:fill="FFFFFF"/>
        </w:rPr>
        <w:t xml:space="preserve">, M. and </w:t>
      </w:r>
      <w:proofErr w:type="spellStart"/>
      <w:r w:rsidRPr="002576CB">
        <w:rPr>
          <w:rFonts w:ascii="Times New Roman" w:hAnsi="Times New Roman" w:cs="Times New Roman"/>
          <w:color w:val="000000"/>
          <w:shd w:val="clear" w:color="auto" w:fill="FFFFFF"/>
        </w:rPr>
        <w:t>Semieniuk</w:t>
      </w:r>
      <w:proofErr w:type="spellEnd"/>
      <w:r w:rsidRPr="002576CB">
        <w:rPr>
          <w:rFonts w:ascii="Times New Roman" w:hAnsi="Times New Roman" w:cs="Times New Roman"/>
          <w:color w:val="000000"/>
          <w:shd w:val="clear" w:color="auto" w:fill="FFFFFF"/>
        </w:rPr>
        <w:t>, G. (2018). Financing renewable energy: Who is financing what and why it matters. </w:t>
      </w:r>
      <w:r w:rsidRPr="002576CB">
        <w:rPr>
          <w:rFonts w:ascii="Times New Roman" w:hAnsi="Times New Roman" w:cs="Times New Roman"/>
          <w:i/>
          <w:iCs/>
          <w:color w:val="000000"/>
          <w:shd w:val="clear" w:color="auto" w:fill="FFFFFF"/>
        </w:rPr>
        <w:t>Technological Forecasting and Social Change</w:t>
      </w:r>
      <w:r w:rsidRPr="002576CB">
        <w:rPr>
          <w:rFonts w:ascii="Times New Roman" w:hAnsi="Times New Roman" w:cs="Times New Roman"/>
          <w:color w:val="000000"/>
          <w:shd w:val="clear" w:color="auto" w:fill="FFFFFF"/>
        </w:rPr>
        <w:t>, 127, pp.8-22.</w:t>
      </w:r>
    </w:p>
    <w:p w:rsidR="00674343" w:rsidRPr="002576CB" w:rsidRDefault="00674343" w:rsidP="009B15E1">
      <w:pPr>
        <w:rPr>
          <w:rFonts w:ascii="Times New Roman" w:hAnsi="Times New Roman" w:cs="Times New Roman"/>
        </w:rPr>
      </w:pPr>
      <w:r w:rsidRPr="002576CB">
        <w:rPr>
          <w:rFonts w:ascii="Times New Roman" w:hAnsi="Times New Roman" w:cs="Times New Roman"/>
          <w:color w:val="000000"/>
          <w:shd w:val="clear" w:color="auto" w:fill="FFFFFF"/>
        </w:rPr>
        <w:t>Steffen, B. (2018). The importance of project finance for renewable energy projects. </w:t>
      </w:r>
      <w:r w:rsidRPr="002576CB">
        <w:rPr>
          <w:rFonts w:ascii="Times New Roman" w:hAnsi="Times New Roman" w:cs="Times New Roman"/>
          <w:i/>
          <w:iCs/>
          <w:color w:val="000000"/>
          <w:shd w:val="clear" w:color="auto" w:fill="FFFFFF"/>
        </w:rPr>
        <w:t>Energy Economics</w:t>
      </w:r>
      <w:r w:rsidRPr="002576CB">
        <w:rPr>
          <w:rFonts w:ascii="Times New Roman" w:hAnsi="Times New Roman" w:cs="Times New Roman"/>
          <w:color w:val="000000"/>
          <w:shd w:val="clear" w:color="auto" w:fill="FFFFFF"/>
        </w:rPr>
        <w:t>, 69, pp.280-294.</w:t>
      </w:r>
    </w:p>
    <w:p w:rsidR="009B15E1" w:rsidRPr="002576CB" w:rsidRDefault="009B15E1" w:rsidP="009B15E1">
      <w:pPr>
        <w:rPr>
          <w:rFonts w:ascii="Times New Roman" w:hAnsi="Times New Roman" w:cs="Times New Roman"/>
        </w:rPr>
      </w:pPr>
      <w:r w:rsidRPr="002576CB">
        <w:rPr>
          <w:rFonts w:ascii="Times New Roman" w:hAnsi="Times New Roman" w:cs="Times New Roman"/>
        </w:rPr>
        <w:t>The World Bank (n.d.). Financing renewable energy Options for Developing Financing Instruments Using Public Funds. The World Bank.</w:t>
      </w:r>
    </w:p>
    <w:p w:rsidR="009B15E1" w:rsidRPr="002576CB" w:rsidRDefault="009B15E1" w:rsidP="001C686A">
      <w:pPr>
        <w:rPr>
          <w:rFonts w:ascii="Times New Roman" w:hAnsi="Times New Roman" w:cs="Times New Roman"/>
        </w:rPr>
      </w:pPr>
      <w:r w:rsidRPr="002576CB">
        <w:rPr>
          <w:rFonts w:ascii="Times New Roman" w:hAnsi="Times New Roman" w:cs="Times New Roman"/>
        </w:rPr>
        <w:t xml:space="preserve">Union for the Mediterranean (n.d.). </w:t>
      </w:r>
      <w:r w:rsidRPr="002576CB">
        <w:rPr>
          <w:rFonts w:ascii="Times New Roman" w:hAnsi="Times New Roman" w:cs="Times New Roman"/>
          <w:i/>
        </w:rPr>
        <w:t>Energy and Climate Action</w:t>
      </w:r>
      <w:r w:rsidRPr="002576CB">
        <w:rPr>
          <w:rFonts w:ascii="Times New Roman" w:hAnsi="Times New Roman" w:cs="Times New Roman"/>
        </w:rPr>
        <w:t xml:space="preserve">. [online] Union for the Mediterranean - UfM. Available at: </w:t>
      </w:r>
      <w:hyperlink r:id="rId11" w:history="1">
        <w:r w:rsidRPr="002576CB">
          <w:rPr>
            <w:rStyle w:val="Hyperlink"/>
            <w:rFonts w:ascii="Times New Roman" w:hAnsi="Times New Roman" w:cs="Times New Roman"/>
          </w:rPr>
          <w:t>https://ufmsecretariat.org/what-we-do/energy-and-climate-action/</w:t>
        </w:r>
      </w:hyperlink>
      <w:r w:rsidRPr="002576CB">
        <w:rPr>
          <w:rFonts w:ascii="Times New Roman" w:hAnsi="Times New Roman" w:cs="Times New Roman"/>
        </w:rPr>
        <w:t xml:space="preserve"> [Accessed 8 Oct. 2018].</w:t>
      </w:r>
    </w:p>
    <w:p w:rsidR="00192035" w:rsidRPr="002576CB" w:rsidRDefault="00B94C49" w:rsidP="001C686A">
      <w:pPr>
        <w:rPr>
          <w:rFonts w:ascii="Times New Roman" w:hAnsi="Times New Roman" w:cs="Times New Roman"/>
        </w:rPr>
      </w:pPr>
      <w:r w:rsidRPr="002576CB">
        <w:rPr>
          <w:rFonts w:ascii="Times New Roman" w:hAnsi="Times New Roman" w:cs="Times New Roman"/>
          <w:color w:val="000000"/>
          <w:shd w:val="clear" w:color="auto" w:fill="FFFFFF"/>
        </w:rPr>
        <w:t>WSGR (2012). </w:t>
      </w:r>
      <w:r w:rsidRPr="002576CB">
        <w:rPr>
          <w:rFonts w:ascii="Times New Roman" w:hAnsi="Times New Roman" w:cs="Times New Roman"/>
          <w:i/>
          <w:iCs/>
          <w:color w:val="000000"/>
          <w:shd w:val="clear" w:color="auto" w:fill="FFFFFF"/>
        </w:rPr>
        <w:t>Project Finance for Renewable Energy and Clean Technology Projects</w:t>
      </w:r>
      <w:r w:rsidRPr="002576CB">
        <w:rPr>
          <w:rFonts w:ascii="Times New Roman" w:hAnsi="Times New Roman" w:cs="Times New Roman"/>
          <w:color w:val="000000"/>
          <w:shd w:val="clear" w:color="auto" w:fill="FFFFFF"/>
        </w:rPr>
        <w:t>. WSGR.</w:t>
      </w:r>
      <w:bookmarkStart w:id="0" w:name="_GoBack"/>
      <w:bookmarkEnd w:id="0"/>
    </w:p>
    <w:sectPr w:rsidR="00192035" w:rsidRPr="002576CB" w:rsidSect="00A54291">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lnNumType w:countBy="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76CB" w:rsidRDefault="002576CB" w:rsidP="002576CB">
      <w:pPr>
        <w:spacing w:after="0" w:line="240" w:lineRule="auto"/>
      </w:pPr>
      <w:r>
        <w:separator/>
      </w:r>
    </w:p>
  </w:endnote>
  <w:endnote w:type="continuationSeparator" w:id="0">
    <w:p w:rsidR="002576CB" w:rsidRDefault="002576CB" w:rsidP="00257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yriad Pro">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TC Slimbach Std">
    <w:altName w:val="ITC Slimbach St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76CB" w:rsidRDefault="002576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76CB" w:rsidRDefault="002576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76CB" w:rsidRDefault="002576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76CB" w:rsidRDefault="002576CB" w:rsidP="002576CB">
      <w:pPr>
        <w:spacing w:after="0" w:line="240" w:lineRule="auto"/>
      </w:pPr>
      <w:r>
        <w:separator/>
      </w:r>
    </w:p>
  </w:footnote>
  <w:footnote w:type="continuationSeparator" w:id="0">
    <w:p w:rsidR="002576CB" w:rsidRDefault="002576CB" w:rsidP="002576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76CB" w:rsidRDefault="00A5429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768804" o:spid="_x0000_s2050" type="#_x0000_t136" style="position:absolute;margin-left:0;margin-top:0;width:399.7pt;height:239.8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76CB" w:rsidRDefault="00A5429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768805" o:spid="_x0000_s2051" type="#_x0000_t136" style="position:absolute;margin-left:0;margin-top:0;width:399.7pt;height:239.8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76CB" w:rsidRDefault="00A5429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768803" o:spid="_x0000_s2049" type="#_x0000_t136" style="position:absolute;margin-left:0;margin-top:0;width:399.7pt;height:239.8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31ED8"/>
    <w:multiLevelType w:val="hybridMultilevel"/>
    <w:tmpl w:val="E78C7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686A"/>
    <w:rsid w:val="0003590E"/>
    <w:rsid w:val="000910D4"/>
    <w:rsid w:val="000959F0"/>
    <w:rsid w:val="00095D14"/>
    <w:rsid w:val="000C4A73"/>
    <w:rsid w:val="000F47EF"/>
    <w:rsid w:val="00147CD6"/>
    <w:rsid w:val="00177F70"/>
    <w:rsid w:val="001814A0"/>
    <w:rsid w:val="00192035"/>
    <w:rsid w:val="001A588E"/>
    <w:rsid w:val="001B269C"/>
    <w:rsid w:val="001B3BDA"/>
    <w:rsid w:val="001C686A"/>
    <w:rsid w:val="002576CB"/>
    <w:rsid w:val="00294704"/>
    <w:rsid w:val="00297211"/>
    <w:rsid w:val="002D437A"/>
    <w:rsid w:val="002D4808"/>
    <w:rsid w:val="00305D46"/>
    <w:rsid w:val="003213DC"/>
    <w:rsid w:val="00334668"/>
    <w:rsid w:val="00362CC2"/>
    <w:rsid w:val="00441232"/>
    <w:rsid w:val="00446398"/>
    <w:rsid w:val="00450086"/>
    <w:rsid w:val="004D32B8"/>
    <w:rsid w:val="00520AEB"/>
    <w:rsid w:val="005C6626"/>
    <w:rsid w:val="00622F20"/>
    <w:rsid w:val="00626226"/>
    <w:rsid w:val="00666E10"/>
    <w:rsid w:val="00674343"/>
    <w:rsid w:val="006A0E8B"/>
    <w:rsid w:val="006A5710"/>
    <w:rsid w:val="007474FC"/>
    <w:rsid w:val="00756E59"/>
    <w:rsid w:val="0079583D"/>
    <w:rsid w:val="00806641"/>
    <w:rsid w:val="00840170"/>
    <w:rsid w:val="008B410A"/>
    <w:rsid w:val="008D76B6"/>
    <w:rsid w:val="008D7A6D"/>
    <w:rsid w:val="00964382"/>
    <w:rsid w:val="009B01CD"/>
    <w:rsid w:val="009B15E1"/>
    <w:rsid w:val="009C1548"/>
    <w:rsid w:val="009C79DE"/>
    <w:rsid w:val="009D0C49"/>
    <w:rsid w:val="00A0266A"/>
    <w:rsid w:val="00A071A4"/>
    <w:rsid w:val="00A15C77"/>
    <w:rsid w:val="00A54291"/>
    <w:rsid w:val="00A6306D"/>
    <w:rsid w:val="00AD6246"/>
    <w:rsid w:val="00B14443"/>
    <w:rsid w:val="00B47BE3"/>
    <w:rsid w:val="00B73A95"/>
    <w:rsid w:val="00B94C49"/>
    <w:rsid w:val="00BB052F"/>
    <w:rsid w:val="00BC5FB2"/>
    <w:rsid w:val="00BD4C8B"/>
    <w:rsid w:val="00BF7BC1"/>
    <w:rsid w:val="00C155D0"/>
    <w:rsid w:val="00C2592C"/>
    <w:rsid w:val="00C93ECE"/>
    <w:rsid w:val="00CD671C"/>
    <w:rsid w:val="00CE1530"/>
    <w:rsid w:val="00CF584A"/>
    <w:rsid w:val="00D653BE"/>
    <w:rsid w:val="00D72D1B"/>
    <w:rsid w:val="00D73054"/>
    <w:rsid w:val="00DB129C"/>
    <w:rsid w:val="00DB556D"/>
    <w:rsid w:val="00E10A66"/>
    <w:rsid w:val="00E12CC4"/>
    <w:rsid w:val="00E43ACF"/>
    <w:rsid w:val="00E478AD"/>
    <w:rsid w:val="00E663C5"/>
    <w:rsid w:val="00E736D2"/>
    <w:rsid w:val="00ED1C98"/>
    <w:rsid w:val="00ED77D1"/>
    <w:rsid w:val="00F61BA3"/>
    <w:rsid w:val="00F83620"/>
    <w:rsid w:val="00FA02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0870643"/>
  <w15:docId w15:val="{92D5837A-3082-4E9E-A69A-710481F9F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97211"/>
    <w:pPr>
      <w:autoSpaceDE w:val="0"/>
      <w:autoSpaceDN w:val="0"/>
      <w:adjustRightInd w:val="0"/>
      <w:spacing w:after="0" w:line="240" w:lineRule="auto"/>
    </w:pPr>
    <w:rPr>
      <w:rFonts w:ascii="Myriad Pro" w:hAnsi="Myriad Pro" w:cs="Myriad Pro"/>
      <w:color w:val="000000"/>
      <w:sz w:val="24"/>
      <w:szCs w:val="24"/>
    </w:rPr>
  </w:style>
  <w:style w:type="character" w:customStyle="1" w:styleId="A4">
    <w:name w:val="A4"/>
    <w:uiPriority w:val="99"/>
    <w:rsid w:val="00297211"/>
    <w:rPr>
      <w:rFonts w:cs="Myriad Pro"/>
      <w:b/>
      <w:bCs/>
      <w:color w:val="000000"/>
      <w:sz w:val="22"/>
      <w:szCs w:val="22"/>
    </w:rPr>
  </w:style>
  <w:style w:type="table" w:styleId="TableGrid">
    <w:name w:val="Table Grid"/>
    <w:basedOn w:val="TableNormal"/>
    <w:uiPriority w:val="59"/>
    <w:rsid w:val="00C259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5">
    <w:name w:val="Medium Shading 1 Accent 5"/>
    <w:basedOn w:val="TableNormal"/>
    <w:uiPriority w:val="63"/>
    <w:rsid w:val="00C2592C"/>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List-Accent5">
    <w:name w:val="Light List Accent 5"/>
    <w:basedOn w:val="TableNormal"/>
    <w:uiPriority w:val="61"/>
    <w:rsid w:val="00C2592C"/>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Shading1-Accent1">
    <w:name w:val="Medium Shading 1 Accent 1"/>
    <w:basedOn w:val="TableNormal"/>
    <w:uiPriority w:val="63"/>
    <w:rsid w:val="00C2592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Hyperlink">
    <w:name w:val="Hyperlink"/>
    <w:basedOn w:val="DefaultParagraphFont"/>
    <w:uiPriority w:val="99"/>
    <w:semiHidden/>
    <w:unhideWhenUsed/>
    <w:rsid w:val="00626226"/>
    <w:rPr>
      <w:color w:val="0000FF"/>
      <w:u w:val="single"/>
    </w:rPr>
  </w:style>
  <w:style w:type="paragraph" w:styleId="BalloonText">
    <w:name w:val="Balloon Text"/>
    <w:basedOn w:val="Normal"/>
    <w:link w:val="BalloonTextChar"/>
    <w:uiPriority w:val="99"/>
    <w:semiHidden/>
    <w:unhideWhenUsed/>
    <w:rsid w:val="009D0C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C49"/>
    <w:rPr>
      <w:rFonts w:ascii="Tahoma" w:hAnsi="Tahoma" w:cs="Tahoma"/>
      <w:sz w:val="16"/>
      <w:szCs w:val="16"/>
    </w:rPr>
  </w:style>
  <w:style w:type="character" w:customStyle="1" w:styleId="A2">
    <w:name w:val="A2"/>
    <w:uiPriority w:val="99"/>
    <w:rsid w:val="00CD671C"/>
    <w:rPr>
      <w:rFonts w:cs="ITC Slimbach Std"/>
      <w:color w:val="000000"/>
      <w:sz w:val="18"/>
      <w:szCs w:val="18"/>
    </w:rPr>
  </w:style>
  <w:style w:type="paragraph" w:styleId="ListParagraph">
    <w:name w:val="List Paragraph"/>
    <w:basedOn w:val="Normal"/>
    <w:uiPriority w:val="34"/>
    <w:qFormat/>
    <w:rsid w:val="00666E10"/>
    <w:pPr>
      <w:ind w:left="720"/>
      <w:contextualSpacing/>
    </w:pPr>
  </w:style>
  <w:style w:type="paragraph" w:styleId="Header">
    <w:name w:val="header"/>
    <w:basedOn w:val="Normal"/>
    <w:link w:val="HeaderChar"/>
    <w:uiPriority w:val="99"/>
    <w:unhideWhenUsed/>
    <w:rsid w:val="002576CB"/>
    <w:pPr>
      <w:tabs>
        <w:tab w:val="center" w:pos="4536"/>
        <w:tab w:val="right" w:pos="9072"/>
      </w:tabs>
      <w:spacing w:after="0" w:line="240" w:lineRule="auto"/>
    </w:pPr>
  </w:style>
  <w:style w:type="character" w:customStyle="1" w:styleId="HeaderChar">
    <w:name w:val="Header Char"/>
    <w:basedOn w:val="DefaultParagraphFont"/>
    <w:link w:val="Header"/>
    <w:uiPriority w:val="99"/>
    <w:rsid w:val="002576CB"/>
  </w:style>
  <w:style w:type="paragraph" w:styleId="Footer">
    <w:name w:val="footer"/>
    <w:basedOn w:val="Normal"/>
    <w:link w:val="FooterChar"/>
    <w:uiPriority w:val="99"/>
    <w:unhideWhenUsed/>
    <w:rsid w:val="002576CB"/>
    <w:pPr>
      <w:tabs>
        <w:tab w:val="center" w:pos="4536"/>
        <w:tab w:val="right" w:pos="9072"/>
      </w:tabs>
      <w:spacing w:after="0" w:line="240" w:lineRule="auto"/>
    </w:pPr>
  </w:style>
  <w:style w:type="character" w:customStyle="1" w:styleId="FooterChar">
    <w:name w:val="Footer Char"/>
    <w:basedOn w:val="DefaultParagraphFont"/>
    <w:link w:val="Footer"/>
    <w:uiPriority w:val="99"/>
    <w:rsid w:val="002576CB"/>
  </w:style>
  <w:style w:type="paragraph" w:styleId="FootnoteText">
    <w:name w:val="footnote text"/>
    <w:basedOn w:val="Normal"/>
    <w:link w:val="FootnoteTextChar"/>
    <w:uiPriority w:val="99"/>
    <w:semiHidden/>
    <w:unhideWhenUsed/>
    <w:rsid w:val="00E736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36D2"/>
    <w:rPr>
      <w:sz w:val="20"/>
      <w:szCs w:val="20"/>
    </w:rPr>
  </w:style>
  <w:style w:type="character" w:styleId="FootnoteReference">
    <w:name w:val="footnote reference"/>
    <w:basedOn w:val="DefaultParagraphFont"/>
    <w:uiPriority w:val="99"/>
    <w:semiHidden/>
    <w:unhideWhenUsed/>
    <w:rsid w:val="00E736D2"/>
    <w:rPr>
      <w:vertAlign w:val="superscript"/>
    </w:rPr>
  </w:style>
  <w:style w:type="character" w:styleId="LineNumber">
    <w:name w:val="line number"/>
    <w:basedOn w:val="DefaultParagraphFont"/>
    <w:uiPriority w:val="99"/>
    <w:semiHidden/>
    <w:unhideWhenUsed/>
    <w:rsid w:val="00A542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16436">
      <w:bodyDiv w:val="1"/>
      <w:marLeft w:val="0"/>
      <w:marRight w:val="0"/>
      <w:marTop w:val="0"/>
      <w:marBottom w:val="0"/>
      <w:divBdr>
        <w:top w:val="none" w:sz="0" w:space="0" w:color="auto"/>
        <w:left w:val="none" w:sz="0" w:space="0" w:color="auto"/>
        <w:bottom w:val="none" w:sz="0" w:space="0" w:color="auto"/>
        <w:right w:val="none" w:sz="0" w:space="0" w:color="auto"/>
      </w:divBdr>
    </w:div>
    <w:div w:id="758604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energy/en/topics/energy-strategy-and-energy-union/2020-energy-strategy"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fmsecretariat.org/what-we-do/energy-and-climate-actio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ec.europa.eu/energy/en/events/eastern-partnership-energy-pane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c.europa.eu/energy/en/funding-and-contract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E8C60-2141-4C7F-900D-3D0B6BDFF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Pages>
  <Words>2377</Words>
  <Characters>13550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GUICCIARDINI Giulio (ENER)</dc:creator>
  <cp:lastModifiedBy>Irene di Padua</cp:lastModifiedBy>
  <cp:revision>5</cp:revision>
  <cp:lastPrinted>2018-10-12T13:36:00Z</cp:lastPrinted>
  <dcterms:created xsi:type="dcterms:W3CDTF">2018-10-18T16:26:00Z</dcterms:created>
  <dcterms:modified xsi:type="dcterms:W3CDTF">2018-10-23T14:06:00Z</dcterms:modified>
</cp:coreProperties>
</file>